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Document.xml" ContentType="application/vnd.openxmlformats-officedocument.wordprocessingml.commentsExtensible+xml"/>
  <Override PartName="/word/peopleDocument.xml" ContentType="application/vnd.openxmlformats-officedocument.wordprocessingml.people+xml"/>
  <Override PartName="/word/commentsExtendedDocument.xml" ContentType="application/vnd.openxmlformats-officedocument.wordprocessingml.commentsExtended+xml"/>
  <Override PartName="/word/commentsIdsDocument.xml" ContentType="application/vnd.openxmlformats-officedocument.wordprocessingml.commentsIds+xml"/>
  <Override PartName="/word/commentsDocument.xml" ContentType="application/vnd.openxmlformats-officedocument.wordprocessingml.comment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7FC781" w14:textId="19ADC4CB" w:rsidR="004E2CB4" w:rsidRPr="004E2CB4" w:rsidRDefault="004E2CB4" w:rsidP="004E2CB4">
      <w:pPr>
        <w:rPr>
          <w:rFonts w:ascii="Poppins" w:hAnsi="Poppins" w:cs="Poppins"/>
          <w:b/>
          <w:bCs/>
          <w:sz w:val="32"/>
          <w:szCs w:val="32"/>
        </w:rPr>
      </w:pPr>
      <w:r w:rsidRPr="004E2CB4">
        <w:rPr>
          <w:rFonts w:ascii="Poppins" w:hAnsi="Poppins" w:cs="Poppins"/>
          <w:b/>
          <w:bCs/>
          <w:noProof/>
          <w:sz w:val="32"/>
          <w:szCs w:val="32"/>
        </w:rPr>
        <w:drawing>
          <wp:inline distT="0" distB="0" distL="0" distR="0" wp14:anchorId="4CE11217" wp14:editId="294D9A68">
            <wp:extent cx="5651500" cy="1595120"/>
            <wp:effectExtent l="0" t="0" r="6350" b="5080"/>
            <wp:docPr id="781456709" name="Grafik 1" descr="Ein Bild, das Schwarz, Dunkelhei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1456709" name="Grafik 1" descr="Ein Bild, das Schwarz, Dunkelheit enthält.&#10;&#10;Automatisch generierte Beschreibu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651500" cy="1595120"/>
                    </a:xfrm>
                    <a:prstGeom prst="rect">
                      <a:avLst/>
                    </a:prstGeom>
                    <a:noFill/>
                    <a:ln>
                      <a:noFill/>
                    </a:ln>
                  </pic:spPr>
                </pic:pic>
              </a:graphicData>
            </a:graphic>
          </wp:inline>
        </w:drawing>
      </w:r>
    </w:p>
    <w:p w14:paraId="72233282" w14:textId="77777777" w:rsidR="0040385C" w:rsidRPr="00D1021A" w:rsidRDefault="0040385C" w:rsidP="00E55947">
      <w:pPr>
        <w:rPr>
          <w:rFonts w:ascii="Poppins" w:hAnsi="Poppins" w:cs="Poppins"/>
          <w:b/>
          <w:bCs/>
          <w:sz w:val="32"/>
          <w:szCs w:val="32"/>
        </w:rPr>
      </w:pPr>
    </w:p>
    <w:p w14:paraId="4B55AC79" w14:textId="77777777" w:rsidR="0040385C" w:rsidRPr="00D1021A" w:rsidRDefault="0040385C" w:rsidP="00E55947">
      <w:pPr>
        <w:rPr>
          <w:rFonts w:ascii="Poppins" w:hAnsi="Poppins" w:cs="Poppins"/>
          <w:b/>
          <w:bCs/>
          <w:sz w:val="32"/>
          <w:szCs w:val="32"/>
        </w:rPr>
      </w:pPr>
    </w:p>
    <w:p w14:paraId="3DEB0464" w14:textId="3DDB0734" w:rsidR="0040385C" w:rsidRPr="00D1021A" w:rsidRDefault="00046E90" w:rsidP="00E55947">
      <w:pPr>
        <w:rPr>
          <w:rFonts w:ascii="Poppins" w:hAnsi="Poppins" w:cs="Poppins"/>
          <w:b/>
          <w:bCs/>
          <w:sz w:val="44"/>
          <w:szCs w:val="44"/>
        </w:rPr>
      </w:pPr>
      <w:r w:rsidRPr="00D1021A">
        <w:rPr>
          <w:rFonts w:ascii="Poppins" w:hAnsi="Poppins" w:cs="Poppins"/>
          <w:b/>
          <w:bCs/>
          <w:sz w:val="44"/>
          <w:szCs w:val="44"/>
        </w:rPr>
        <w:t>Theoretische Hintergründe des Qualitätsmanagementsystems der</w:t>
      </w:r>
      <w:r w:rsidR="00057296" w:rsidRPr="00D1021A">
        <w:rPr>
          <w:rFonts w:ascii="Poppins" w:hAnsi="Poppins" w:cs="Poppins"/>
          <w:b/>
          <w:bCs/>
          <w:sz w:val="44"/>
          <w:szCs w:val="44"/>
        </w:rPr>
        <w:br/>
      </w:r>
      <w:r w:rsidRPr="00D1021A">
        <w:rPr>
          <w:rFonts w:ascii="Poppins" w:hAnsi="Poppins" w:cs="Poppins"/>
          <w:b/>
          <w:bCs/>
          <w:sz w:val="44"/>
          <w:szCs w:val="44"/>
        </w:rPr>
        <w:t>Hamburg Open Online University</w:t>
      </w:r>
      <w:r w:rsidR="00057296" w:rsidRPr="00D1021A">
        <w:rPr>
          <w:rFonts w:ascii="Poppins" w:hAnsi="Poppins" w:cs="Poppins"/>
          <w:b/>
          <w:bCs/>
          <w:sz w:val="44"/>
          <w:szCs w:val="44"/>
        </w:rPr>
        <w:t xml:space="preserve"> (HOOU)</w:t>
      </w:r>
    </w:p>
    <w:p w14:paraId="7C144C69" w14:textId="4A9AE0F0" w:rsidR="0040385C" w:rsidRDefault="00D1021A" w:rsidP="009B614E">
      <w:pPr>
        <w:pBdr>
          <w:bottom w:val="single" w:sz="12" w:space="1" w:color="auto"/>
        </w:pBdr>
        <w:rPr>
          <w:rFonts w:ascii="Poppins" w:hAnsi="Poppins" w:cs="Poppins"/>
          <w:sz w:val="24"/>
          <w:szCs w:val="24"/>
        </w:rPr>
      </w:pPr>
      <w:r w:rsidRPr="00D8476D">
        <w:rPr>
          <w:rFonts w:ascii="Poppins" w:hAnsi="Poppins" w:cs="Poppins"/>
          <w:sz w:val="24"/>
          <w:szCs w:val="24"/>
        </w:rPr>
        <w:t>Nina Henrike Anders &amp; Anna-Lena Krüger für die H</w:t>
      </w:r>
      <w:r w:rsidR="006416ED">
        <w:rPr>
          <w:rFonts w:ascii="Poppins" w:hAnsi="Poppins" w:cs="Poppins"/>
          <w:sz w:val="24"/>
          <w:szCs w:val="24"/>
        </w:rPr>
        <w:t>OOU</w:t>
      </w:r>
    </w:p>
    <w:p w14:paraId="008ABF85" w14:textId="064F6DC8" w:rsidR="00DD3B56" w:rsidRPr="00DD3B56" w:rsidRDefault="001E7009" w:rsidP="00DD3B56">
      <w:pPr>
        <w:rPr>
          <w:rFonts w:ascii="Poppins" w:hAnsi="Poppins" w:cs="Poppins"/>
          <w:sz w:val="24"/>
          <w:szCs w:val="24"/>
        </w:rPr>
      </w:pPr>
      <w:r>
        <w:rPr>
          <w:rFonts w:ascii="Poppins" w:hAnsi="Poppins" w:cs="Poppins"/>
          <w:sz w:val="24"/>
          <w:szCs w:val="24"/>
        </w:rPr>
        <w:t>Oktober</w:t>
      </w:r>
      <w:r w:rsidR="00DD3B56" w:rsidRPr="00DD3B56">
        <w:rPr>
          <w:rFonts w:ascii="Poppins" w:hAnsi="Poppins" w:cs="Poppins"/>
          <w:sz w:val="24"/>
          <w:szCs w:val="24"/>
        </w:rPr>
        <w:t xml:space="preserve"> 2024</w:t>
      </w:r>
    </w:p>
    <w:p w14:paraId="0ADDF849" w14:textId="77777777" w:rsidR="00DD3B56" w:rsidRPr="00D8476D" w:rsidRDefault="00DD3B56" w:rsidP="009B614E">
      <w:pPr>
        <w:rPr>
          <w:rFonts w:ascii="Poppins" w:hAnsi="Poppins" w:cs="Poppins"/>
          <w:b/>
          <w:bCs/>
          <w:sz w:val="24"/>
          <w:szCs w:val="24"/>
        </w:rPr>
      </w:pPr>
    </w:p>
    <w:p w14:paraId="31C4616A" w14:textId="77777777" w:rsidR="0040385C" w:rsidRPr="00D1021A" w:rsidRDefault="0040385C" w:rsidP="009B614E">
      <w:pPr>
        <w:rPr>
          <w:rFonts w:ascii="Poppins" w:hAnsi="Poppins" w:cs="Poppins"/>
        </w:rPr>
      </w:pPr>
    </w:p>
    <w:p w14:paraId="55D9F05B" w14:textId="77777777" w:rsidR="0040385C" w:rsidRPr="00D1021A" w:rsidRDefault="0040385C" w:rsidP="009B614E">
      <w:pPr>
        <w:rPr>
          <w:rFonts w:ascii="Poppins" w:hAnsi="Poppins" w:cs="Poppins"/>
        </w:rPr>
      </w:pPr>
    </w:p>
    <w:p w14:paraId="24E6AC86" w14:textId="77777777" w:rsidR="0040385C" w:rsidRPr="00D1021A" w:rsidRDefault="0040385C" w:rsidP="009B614E">
      <w:pPr>
        <w:rPr>
          <w:rFonts w:ascii="Poppins" w:hAnsi="Poppins" w:cs="Poppins"/>
        </w:rPr>
      </w:pPr>
    </w:p>
    <w:p w14:paraId="2A584ED4" w14:textId="77777777" w:rsidR="00D1021A" w:rsidRPr="00D1021A" w:rsidRDefault="00D1021A" w:rsidP="009B614E">
      <w:pPr>
        <w:rPr>
          <w:rFonts w:ascii="Poppins" w:hAnsi="Poppins" w:cs="Poppins"/>
        </w:rPr>
      </w:pPr>
    </w:p>
    <w:p w14:paraId="584412CF" w14:textId="77777777" w:rsidR="00D1021A" w:rsidRPr="00D1021A" w:rsidRDefault="00D1021A" w:rsidP="009B614E">
      <w:pPr>
        <w:rPr>
          <w:rFonts w:ascii="Poppins" w:hAnsi="Poppins" w:cs="Poppins"/>
        </w:rPr>
      </w:pPr>
    </w:p>
    <w:p w14:paraId="7A898E27" w14:textId="77777777" w:rsidR="00D1021A" w:rsidRPr="00D1021A" w:rsidRDefault="00D1021A" w:rsidP="009B614E">
      <w:pPr>
        <w:rPr>
          <w:rFonts w:ascii="Poppins" w:hAnsi="Poppins" w:cs="Poppins"/>
        </w:rPr>
      </w:pPr>
    </w:p>
    <w:p w14:paraId="78010284" w14:textId="77777777" w:rsidR="00D1021A" w:rsidRPr="00D1021A" w:rsidRDefault="00D1021A" w:rsidP="009B614E">
      <w:pPr>
        <w:rPr>
          <w:rFonts w:ascii="Poppins" w:hAnsi="Poppins" w:cs="Poppins"/>
        </w:rPr>
      </w:pPr>
    </w:p>
    <w:p w14:paraId="4CC511D5" w14:textId="77777777" w:rsidR="00D1021A" w:rsidRPr="00D1021A" w:rsidRDefault="00D1021A" w:rsidP="009B614E">
      <w:pPr>
        <w:rPr>
          <w:rFonts w:ascii="Poppins" w:hAnsi="Poppins" w:cs="Poppins"/>
        </w:rPr>
      </w:pPr>
    </w:p>
    <w:p w14:paraId="6B7A2F39" w14:textId="77777777" w:rsidR="00D1021A" w:rsidRPr="00D1021A" w:rsidRDefault="00D1021A" w:rsidP="009B614E">
      <w:pPr>
        <w:rPr>
          <w:rFonts w:ascii="Poppins" w:hAnsi="Poppins" w:cs="Poppins"/>
        </w:rPr>
      </w:pPr>
      <w:r w:rsidRPr="00D1021A">
        <w:rPr>
          <w:rFonts w:ascii="Poppins" w:hAnsi="Poppins" w:cs="Poppins"/>
          <w:noProof/>
        </w:rPr>
        <w:drawing>
          <wp:inline distT="0" distB="0" distL="0" distR="0" wp14:anchorId="1B1BA5EC" wp14:editId="417CACBF">
            <wp:extent cx="1090295" cy="381603"/>
            <wp:effectExtent l="0" t="0" r="0" b="0"/>
            <wp:docPr id="1" name="Grafik 1" descr="Ein Bild, das Symbol, Screenshot, Billardkug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Ein Bild, das Symbol, Screenshot, Billardkugel enthält.&#10;&#10;Automatisch generierte Beschreibung"/>
                    <pic:cNvPicPr>
                      <a:picLocks noChangeAspect="1"/>
                    </pic:cNvPicPr>
                  </pic:nvPicPr>
                  <pic:blipFill>
                    <a:blip r:embed="rId12"/>
                    <a:stretch/>
                  </pic:blipFill>
                  <pic:spPr bwMode="auto">
                    <a:xfrm>
                      <a:off x="0" y="0"/>
                      <a:ext cx="1119175" cy="391711"/>
                    </a:xfrm>
                    <a:prstGeom prst="rect">
                      <a:avLst/>
                    </a:prstGeom>
                  </pic:spPr>
                </pic:pic>
              </a:graphicData>
            </a:graphic>
          </wp:inline>
        </w:drawing>
      </w:r>
    </w:p>
    <w:p w14:paraId="53CD6307" w14:textId="62FD0EEE" w:rsidR="00D1021A" w:rsidRPr="00E6314F" w:rsidRDefault="00D1021A" w:rsidP="009B614E">
      <w:pPr>
        <w:rPr>
          <w:rFonts w:ascii="Poppins" w:hAnsi="Poppins" w:cs="Poppins"/>
          <w:sz w:val="24"/>
          <w:szCs w:val="24"/>
        </w:rPr>
      </w:pPr>
      <w:r w:rsidRPr="00D1021A">
        <w:rPr>
          <w:sz w:val="24"/>
          <w:szCs w:val="24"/>
        </w:rPr>
        <w:t>Lizenzhinweis siehe letzte Seite</w:t>
      </w:r>
    </w:p>
    <w:p w14:paraId="146C896E" w14:textId="6B51B2C6" w:rsidR="00150CFC" w:rsidRPr="00D1021A" w:rsidRDefault="00046E90" w:rsidP="009B614E">
      <w:pPr>
        <w:pStyle w:val="berschrift1"/>
        <w:numPr>
          <w:ilvl w:val="0"/>
          <w:numId w:val="0"/>
        </w:numPr>
        <w:rPr>
          <w:rFonts w:ascii="Poppins" w:hAnsi="Poppins" w:cs="Poppins"/>
        </w:rPr>
      </w:pPr>
      <w:bookmarkStart w:id="0" w:name="_Toc177037282"/>
      <w:r w:rsidRPr="00D1021A">
        <w:rPr>
          <w:rFonts w:ascii="Poppins" w:hAnsi="Poppins" w:cs="Poppins"/>
        </w:rPr>
        <w:lastRenderedPageBreak/>
        <w:t>Vorwort</w:t>
      </w:r>
      <w:bookmarkEnd w:id="0"/>
    </w:p>
    <w:p w14:paraId="221207F2" w14:textId="279A0B5E" w:rsidR="0040385C" w:rsidRPr="00D1021A" w:rsidRDefault="00046E90" w:rsidP="00E55947">
      <w:pPr>
        <w:pStyle w:val="Flietext"/>
        <w:jc w:val="left"/>
        <w:rPr>
          <w:rFonts w:ascii="Poppins" w:hAnsi="Poppins" w:cs="Poppins"/>
        </w:rPr>
      </w:pPr>
      <w:r w:rsidRPr="00D1021A">
        <w:rPr>
          <w:rFonts w:ascii="Poppins" w:hAnsi="Poppins" w:cs="Poppins"/>
        </w:rPr>
        <w:t>Die Hamburg Open Online University (HOOU, www.hoou.de) ist eine Verbundeinrichtung</w:t>
      </w:r>
      <w:r w:rsidR="00C47C7B" w:rsidRPr="00D1021A">
        <w:rPr>
          <w:rFonts w:ascii="Poppins" w:hAnsi="Poppins" w:cs="Poppins"/>
        </w:rPr>
        <w:t xml:space="preserve"> von fünf </w:t>
      </w:r>
      <w:r w:rsidR="000B1273" w:rsidRPr="00D1021A">
        <w:rPr>
          <w:rFonts w:ascii="Poppins" w:hAnsi="Poppins" w:cs="Poppins"/>
        </w:rPr>
        <w:t xml:space="preserve">staatlichen Hamburger </w:t>
      </w:r>
      <w:r w:rsidR="00C47C7B" w:rsidRPr="00D1021A">
        <w:rPr>
          <w:rFonts w:ascii="Poppins" w:hAnsi="Poppins" w:cs="Poppins"/>
        </w:rPr>
        <w:t xml:space="preserve">Hochschulen, der </w:t>
      </w:r>
      <w:r w:rsidR="000B1273" w:rsidRPr="00D1021A">
        <w:rPr>
          <w:rFonts w:ascii="Poppins" w:hAnsi="Poppins" w:cs="Poppins"/>
        </w:rPr>
        <w:t>Behörde für Wissenschaft, Forschung, Gleichstellung und Bezirke (</w:t>
      </w:r>
      <w:r w:rsidR="00C47C7B" w:rsidRPr="00D1021A">
        <w:rPr>
          <w:rFonts w:ascii="Poppins" w:hAnsi="Poppins" w:cs="Poppins"/>
        </w:rPr>
        <w:t>BWFGB</w:t>
      </w:r>
      <w:r w:rsidR="000B1273" w:rsidRPr="00D1021A">
        <w:rPr>
          <w:rFonts w:ascii="Poppins" w:hAnsi="Poppins" w:cs="Poppins"/>
        </w:rPr>
        <w:t>)</w:t>
      </w:r>
      <w:r w:rsidR="00C47C7B" w:rsidRPr="00D1021A">
        <w:rPr>
          <w:rFonts w:ascii="Poppins" w:hAnsi="Poppins" w:cs="Poppins"/>
        </w:rPr>
        <w:t xml:space="preserve">, dem </w:t>
      </w:r>
      <w:r w:rsidR="000B1273" w:rsidRPr="00D1021A">
        <w:rPr>
          <w:rFonts w:ascii="Poppins" w:hAnsi="Poppins" w:cs="Poppins"/>
        </w:rPr>
        <w:t>Universitätsklinikum Hamburg-Eppendorf (</w:t>
      </w:r>
      <w:r w:rsidR="00C47C7B" w:rsidRPr="00D1021A">
        <w:rPr>
          <w:rFonts w:ascii="Poppins" w:hAnsi="Poppins" w:cs="Poppins"/>
        </w:rPr>
        <w:t>UKE</w:t>
      </w:r>
      <w:r w:rsidR="000B1273" w:rsidRPr="00D1021A">
        <w:rPr>
          <w:rFonts w:ascii="Poppins" w:hAnsi="Poppins" w:cs="Poppins"/>
        </w:rPr>
        <w:t>)</w:t>
      </w:r>
      <w:r w:rsidR="00C47C7B" w:rsidRPr="00D1021A">
        <w:rPr>
          <w:rFonts w:ascii="Poppins" w:hAnsi="Poppins" w:cs="Poppins"/>
        </w:rPr>
        <w:t xml:space="preserve"> und dem </w:t>
      </w:r>
      <w:r w:rsidR="000B1273" w:rsidRPr="00D1021A">
        <w:rPr>
          <w:rFonts w:ascii="Poppins" w:hAnsi="Poppins" w:cs="Poppins"/>
        </w:rPr>
        <w:t>Multimedia Kontor Hamburg (MMKH)</w:t>
      </w:r>
      <w:r w:rsidRPr="00D1021A">
        <w:rPr>
          <w:rFonts w:ascii="Poppins" w:hAnsi="Poppins" w:cs="Poppins"/>
        </w:rPr>
        <w:t xml:space="preserve">. Mit ihrer Bildungsplattform unterstützt die HOOU die Öffnung </w:t>
      </w:r>
      <w:r w:rsidR="000B1273" w:rsidRPr="00D1021A">
        <w:rPr>
          <w:rFonts w:ascii="Poppins" w:hAnsi="Poppins" w:cs="Poppins"/>
        </w:rPr>
        <w:t xml:space="preserve">der </w:t>
      </w:r>
      <w:r w:rsidRPr="00D1021A">
        <w:rPr>
          <w:rFonts w:ascii="Poppins" w:hAnsi="Poppins" w:cs="Poppins"/>
        </w:rPr>
        <w:t>Hochschulen und schafft einen digitalen Raum für Kollaboration und Kooperation. Sie ist ein Ort für hochwertige Bildungsmaterialien und -inhalte. Die HOOU fördert die Erstellung innovativer digitaler Lernangebote und bietet diese frei zugänglich als Open Educational Resources (OER) an. Die gesetzten Ziele der HOOU sowie ihre Struktur fließen maßgeblich in die Gestaltung des Qualitätsmanagementsystem</w:t>
      </w:r>
      <w:r w:rsidR="006227BA" w:rsidRPr="00D1021A">
        <w:rPr>
          <w:rFonts w:ascii="Poppins" w:hAnsi="Poppins" w:cs="Poppins"/>
        </w:rPr>
        <w:t>s</w:t>
      </w:r>
      <w:r w:rsidRPr="00D1021A">
        <w:rPr>
          <w:rFonts w:ascii="Poppins" w:hAnsi="Poppins" w:cs="Poppins"/>
        </w:rPr>
        <w:t xml:space="preserve"> (QMS) der HOOU ein. Gleichzeitig unterliegen sowohl die Gewährleistung der Qualität von Bildung als auch die Sicherstellung der </w:t>
      </w:r>
      <w:r w:rsidR="00035A9D" w:rsidRPr="00D1021A">
        <w:rPr>
          <w:rFonts w:ascii="Poppins" w:hAnsi="Poppins" w:cs="Poppins"/>
        </w:rPr>
        <w:t xml:space="preserve">der Qualität von </w:t>
      </w:r>
      <w:r w:rsidRPr="00D1021A">
        <w:rPr>
          <w:rFonts w:ascii="Poppins" w:hAnsi="Poppins" w:cs="Poppins"/>
        </w:rPr>
        <w:t xml:space="preserve">OER besonderen Bedingungen, die </w:t>
      </w:r>
      <w:r w:rsidR="006227BA" w:rsidRPr="00D1021A">
        <w:rPr>
          <w:rFonts w:ascii="Poppins" w:hAnsi="Poppins" w:cs="Poppins"/>
        </w:rPr>
        <w:t>gemeinsam betrachtet werd</w:t>
      </w:r>
      <w:r w:rsidRPr="00D1021A">
        <w:rPr>
          <w:rFonts w:ascii="Poppins" w:hAnsi="Poppins" w:cs="Poppins"/>
        </w:rPr>
        <w:t>en und denen Rechnung getragen werden muss. Nicht zuletzt muss das HOOU-QMS auch der besonderen Struktur der HOOU gerecht werden und den verschiedenen Fachkulturen im Verbund Raum geben.</w:t>
      </w:r>
    </w:p>
    <w:p w14:paraId="28C79426" w14:textId="77777777" w:rsidR="0040385C" w:rsidRPr="00D1021A" w:rsidRDefault="00046E90" w:rsidP="009B614E">
      <w:pPr>
        <w:rPr>
          <w:rFonts w:ascii="Poppins" w:hAnsi="Poppins" w:cs="Poppins"/>
          <w:color w:val="000000" w:themeColor="text1"/>
        </w:rPr>
      </w:pPr>
      <w:r w:rsidRPr="00D1021A">
        <w:rPr>
          <w:rFonts w:ascii="Poppins" w:hAnsi="Poppins" w:cs="Poppins"/>
          <w:color w:val="000000" w:themeColor="text1"/>
        </w:rPr>
        <w:br w:type="page" w:clear="all"/>
      </w:r>
    </w:p>
    <w:sdt>
      <w:sdtPr>
        <w:rPr>
          <w:rFonts w:ascii="Poppins" w:eastAsiaTheme="minorEastAsia" w:hAnsi="Poppins" w:cs="Poppins"/>
          <w:b w:val="0"/>
          <w:sz w:val="22"/>
          <w:szCs w:val="22"/>
          <w:lang w:eastAsia="en-US"/>
          <w14:ligatures w14:val="standardContextual"/>
        </w:rPr>
        <w:id w:val="661111363"/>
        <w:docPartObj>
          <w:docPartGallery w:val="Table of Contents"/>
          <w:docPartUnique/>
        </w:docPartObj>
      </w:sdtPr>
      <w:sdtContent>
        <w:p w14:paraId="0B8B495A" w14:textId="77777777" w:rsidR="0040385C" w:rsidRPr="00D1021A" w:rsidRDefault="00046E90" w:rsidP="009B614E">
          <w:pPr>
            <w:pStyle w:val="Inhaltsverzeichnisberschrift"/>
            <w:numPr>
              <w:ilvl w:val="0"/>
              <w:numId w:val="0"/>
            </w:numPr>
            <w:ind w:left="432" w:hanging="432"/>
            <w:rPr>
              <w:rFonts w:ascii="Poppins" w:hAnsi="Poppins" w:cs="Poppins"/>
              <w:sz w:val="28"/>
              <w:szCs w:val="28"/>
            </w:rPr>
          </w:pPr>
          <w:r w:rsidRPr="00D1021A">
            <w:rPr>
              <w:rFonts w:ascii="Poppins" w:hAnsi="Poppins" w:cs="Poppins"/>
              <w:sz w:val="28"/>
              <w:szCs w:val="28"/>
            </w:rPr>
            <w:t>Inhalt</w:t>
          </w:r>
        </w:p>
        <w:p w14:paraId="7989C979" w14:textId="77777777" w:rsidR="0040385C" w:rsidRPr="00D1021A" w:rsidRDefault="0040385C" w:rsidP="009B614E">
          <w:pPr>
            <w:rPr>
              <w:rFonts w:ascii="Poppins" w:hAnsi="Poppins" w:cs="Poppins"/>
              <w:lang w:eastAsia="de-DE"/>
            </w:rPr>
          </w:pPr>
        </w:p>
        <w:p w14:paraId="2F0079B9" w14:textId="56E163C2" w:rsidR="006416ED" w:rsidRDefault="00046E90">
          <w:pPr>
            <w:pStyle w:val="Verzeichnis1"/>
            <w:tabs>
              <w:tab w:val="right" w:leader="dot" w:pos="8890"/>
            </w:tabs>
            <w:rPr>
              <w:rFonts w:eastAsiaTheme="minorEastAsia"/>
              <w:noProof/>
              <w:kern w:val="2"/>
              <w:sz w:val="24"/>
              <w:szCs w:val="24"/>
              <w:lang w:eastAsia="de-DE"/>
            </w:rPr>
          </w:pPr>
          <w:r w:rsidRPr="00D1021A">
            <w:rPr>
              <w:rFonts w:ascii="Poppins" w:hAnsi="Poppins" w:cs="Poppins"/>
            </w:rPr>
            <w:fldChar w:fldCharType="begin"/>
          </w:r>
          <w:r w:rsidRPr="00D1021A">
            <w:rPr>
              <w:rFonts w:ascii="Poppins" w:hAnsi="Poppins" w:cs="Poppins"/>
            </w:rPr>
            <w:instrText>TOC \o "1-3" \h \z \u</w:instrText>
          </w:r>
          <w:r w:rsidRPr="00D1021A">
            <w:rPr>
              <w:rFonts w:ascii="Poppins" w:hAnsi="Poppins" w:cs="Poppins"/>
            </w:rPr>
            <w:fldChar w:fldCharType="separate"/>
          </w:r>
          <w:hyperlink w:anchor="_Toc177037282" w:history="1">
            <w:r w:rsidR="006416ED" w:rsidRPr="00901E22">
              <w:rPr>
                <w:rStyle w:val="Hyperlink"/>
                <w:rFonts w:ascii="Poppins" w:hAnsi="Poppins" w:cs="Poppins"/>
                <w:noProof/>
              </w:rPr>
              <w:t>Vorwort</w:t>
            </w:r>
            <w:r w:rsidR="006416ED">
              <w:rPr>
                <w:noProof/>
                <w:webHidden/>
              </w:rPr>
              <w:tab/>
            </w:r>
            <w:r w:rsidR="006416ED">
              <w:rPr>
                <w:noProof/>
                <w:webHidden/>
              </w:rPr>
              <w:fldChar w:fldCharType="begin"/>
            </w:r>
            <w:r w:rsidR="006416ED">
              <w:rPr>
                <w:noProof/>
                <w:webHidden/>
              </w:rPr>
              <w:instrText xml:space="preserve"> PAGEREF _Toc177037282 \h </w:instrText>
            </w:r>
            <w:r w:rsidR="006416ED">
              <w:rPr>
                <w:noProof/>
                <w:webHidden/>
              </w:rPr>
            </w:r>
            <w:r w:rsidR="006416ED">
              <w:rPr>
                <w:noProof/>
                <w:webHidden/>
              </w:rPr>
              <w:fldChar w:fldCharType="separate"/>
            </w:r>
            <w:r w:rsidR="003C70D6">
              <w:rPr>
                <w:noProof/>
                <w:webHidden/>
              </w:rPr>
              <w:t>1</w:t>
            </w:r>
            <w:r w:rsidR="006416ED">
              <w:rPr>
                <w:noProof/>
                <w:webHidden/>
              </w:rPr>
              <w:fldChar w:fldCharType="end"/>
            </w:r>
          </w:hyperlink>
        </w:p>
        <w:p w14:paraId="404A7145" w14:textId="3E605A40" w:rsidR="006416ED" w:rsidRDefault="006416ED">
          <w:pPr>
            <w:pStyle w:val="Verzeichnis1"/>
            <w:tabs>
              <w:tab w:val="left" w:pos="440"/>
              <w:tab w:val="right" w:leader="dot" w:pos="8890"/>
            </w:tabs>
            <w:rPr>
              <w:rFonts w:eastAsiaTheme="minorEastAsia"/>
              <w:noProof/>
              <w:kern w:val="2"/>
              <w:sz w:val="24"/>
              <w:szCs w:val="24"/>
              <w:lang w:eastAsia="de-DE"/>
            </w:rPr>
          </w:pPr>
          <w:hyperlink w:anchor="_Toc177037283" w:history="1">
            <w:r w:rsidRPr="00901E22">
              <w:rPr>
                <w:rStyle w:val="Hyperlink"/>
                <w:rFonts w:ascii="Poppins" w:hAnsi="Poppins" w:cs="Poppins"/>
                <w:noProof/>
                <w:lang w:val="en-US"/>
              </w:rPr>
              <w:t>1</w:t>
            </w:r>
            <w:r>
              <w:rPr>
                <w:rFonts w:eastAsiaTheme="minorEastAsia"/>
                <w:noProof/>
                <w:kern w:val="2"/>
                <w:sz w:val="24"/>
                <w:szCs w:val="24"/>
                <w:lang w:eastAsia="de-DE"/>
              </w:rPr>
              <w:tab/>
            </w:r>
            <w:r w:rsidRPr="00901E22">
              <w:rPr>
                <w:rStyle w:val="Hyperlink"/>
                <w:rFonts w:ascii="Poppins" w:hAnsi="Poppins" w:cs="Poppins"/>
                <w:noProof/>
                <w:lang w:val="en-US"/>
              </w:rPr>
              <w:t>Hamburg Open Online University (HOOU)</w:t>
            </w:r>
            <w:r>
              <w:rPr>
                <w:noProof/>
                <w:webHidden/>
              </w:rPr>
              <w:tab/>
            </w:r>
            <w:r>
              <w:rPr>
                <w:noProof/>
                <w:webHidden/>
              </w:rPr>
              <w:fldChar w:fldCharType="begin"/>
            </w:r>
            <w:r>
              <w:rPr>
                <w:noProof/>
                <w:webHidden/>
              </w:rPr>
              <w:instrText xml:space="preserve"> PAGEREF _Toc177037283 \h </w:instrText>
            </w:r>
            <w:r>
              <w:rPr>
                <w:noProof/>
                <w:webHidden/>
              </w:rPr>
            </w:r>
            <w:r>
              <w:rPr>
                <w:noProof/>
                <w:webHidden/>
              </w:rPr>
              <w:fldChar w:fldCharType="separate"/>
            </w:r>
            <w:r w:rsidR="003C70D6">
              <w:rPr>
                <w:noProof/>
                <w:webHidden/>
              </w:rPr>
              <w:t>4</w:t>
            </w:r>
            <w:r>
              <w:rPr>
                <w:noProof/>
                <w:webHidden/>
              </w:rPr>
              <w:fldChar w:fldCharType="end"/>
            </w:r>
          </w:hyperlink>
        </w:p>
        <w:p w14:paraId="02E82D5A" w14:textId="0752AF56"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284" w:history="1">
            <w:r w:rsidRPr="00901E22">
              <w:rPr>
                <w:rStyle w:val="Hyperlink"/>
                <w:rFonts w:ascii="Poppins" w:hAnsi="Poppins" w:cs="Poppins"/>
                <w:noProof/>
              </w:rPr>
              <w:t>1.1</w:t>
            </w:r>
            <w:r>
              <w:rPr>
                <w:rFonts w:eastAsiaTheme="minorEastAsia"/>
                <w:noProof/>
                <w:kern w:val="2"/>
                <w:sz w:val="24"/>
                <w:szCs w:val="24"/>
                <w:lang w:eastAsia="de-DE"/>
              </w:rPr>
              <w:tab/>
            </w:r>
            <w:r w:rsidRPr="00901E22">
              <w:rPr>
                <w:rStyle w:val="Hyperlink"/>
                <w:rFonts w:ascii="Poppins" w:hAnsi="Poppins" w:cs="Poppins"/>
                <w:noProof/>
              </w:rPr>
              <w:t>Struktur der HOOU</w:t>
            </w:r>
            <w:r>
              <w:rPr>
                <w:noProof/>
                <w:webHidden/>
              </w:rPr>
              <w:tab/>
            </w:r>
            <w:r>
              <w:rPr>
                <w:noProof/>
                <w:webHidden/>
              </w:rPr>
              <w:fldChar w:fldCharType="begin"/>
            </w:r>
            <w:r>
              <w:rPr>
                <w:noProof/>
                <w:webHidden/>
              </w:rPr>
              <w:instrText xml:space="preserve"> PAGEREF _Toc177037284 \h </w:instrText>
            </w:r>
            <w:r>
              <w:rPr>
                <w:noProof/>
                <w:webHidden/>
              </w:rPr>
            </w:r>
            <w:r>
              <w:rPr>
                <w:noProof/>
                <w:webHidden/>
              </w:rPr>
              <w:fldChar w:fldCharType="separate"/>
            </w:r>
            <w:r w:rsidR="003C70D6">
              <w:rPr>
                <w:noProof/>
                <w:webHidden/>
              </w:rPr>
              <w:t>4</w:t>
            </w:r>
            <w:r>
              <w:rPr>
                <w:noProof/>
                <w:webHidden/>
              </w:rPr>
              <w:fldChar w:fldCharType="end"/>
            </w:r>
          </w:hyperlink>
        </w:p>
        <w:p w14:paraId="20207B89" w14:textId="1AFEB338"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285" w:history="1">
            <w:r w:rsidRPr="00901E22">
              <w:rPr>
                <w:rStyle w:val="Hyperlink"/>
                <w:rFonts w:ascii="Poppins" w:hAnsi="Poppins" w:cs="Poppins"/>
                <w:noProof/>
              </w:rPr>
              <w:t>1.2</w:t>
            </w:r>
            <w:r>
              <w:rPr>
                <w:rFonts w:eastAsiaTheme="minorEastAsia"/>
                <w:noProof/>
                <w:kern w:val="2"/>
                <w:sz w:val="24"/>
                <w:szCs w:val="24"/>
                <w:lang w:eastAsia="de-DE"/>
              </w:rPr>
              <w:tab/>
            </w:r>
            <w:r w:rsidRPr="00901E22">
              <w:rPr>
                <w:rStyle w:val="Hyperlink"/>
                <w:rFonts w:ascii="Poppins" w:hAnsi="Poppins" w:cs="Poppins"/>
                <w:noProof/>
              </w:rPr>
              <w:t>Mission der HOOU</w:t>
            </w:r>
            <w:r>
              <w:rPr>
                <w:noProof/>
                <w:webHidden/>
              </w:rPr>
              <w:tab/>
            </w:r>
            <w:r>
              <w:rPr>
                <w:noProof/>
                <w:webHidden/>
              </w:rPr>
              <w:fldChar w:fldCharType="begin"/>
            </w:r>
            <w:r>
              <w:rPr>
                <w:noProof/>
                <w:webHidden/>
              </w:rPr>
              <w:instrText xml:space="preserve"> PAGEREF _Toc177037285 \h </w:instrText>
            </w:r>
            <w:r>
              <w:rPr>
                <w:noProof/>
                <w:webHidden/>
              </w:rPr>
            </w:r>
            <w:r>
              <w:rPr>
                <w:noProof/>
                <w:webHidden/>
              </w:rPr>
              <w:fldChar w:fldCharType="separate"/>
            </w:r>
            <w:r w:rsidR="003C70D6">
              <w:rPr>
                <w:noProof/>
                <w:webHidden/>
              </w:rPr>
              <w:t>4</w:t>
            </w:r>
            <w:r>
              <w:rPr>
                <w:noProof/>
                <w:webHidden/>
              </w:rPr>
              <w:fldChar w:fldCharType="end"/>
            </w:r>
          </w:hyperlink>
        </w:p>
        <w:p w14:paraId="19300633" w14:textId="5CA34CFC"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286" w:history="1">
            <w:r w:rsidRPr="00901E22">
              <w:rPr>
                <w:rStyle w:val="Hyperlink"/>
                <w:rFonts w:ascii="Poppins" w:hAnsi="Poppins" w:cs="Poppins"/>
                <w:noProof/>
              </w:rPr>
              <w:t>1.3</w:t>
            </w:r>
            <w:r>
              <w:rPr>
                <w:rFonts w:eastAsiaTheme="minorEastAsia"/>
                <w:noProof/>
                <w:kern w:val="2"/>
                <w:sz w:val="24"/>
                <w:szCs w:val="24"/>
                <w:lang w:eastAsia="de-DE"/>
              </w:rPr>
              <w:tab/>
            </w:r>
            <w:r w:rsidRPr="00901E22">
              <w:rPr>
                <w:rStyle w:val="Hyperlink"/>
                <w:rFonts w:ascii="Poppins" w:hAnsi="Poppins" w:cs="Poppins"/>
                <w:noProof/>
              </w:rPr>
              <w:t>Ziele der HOOU</w:t>
            </w:r>
            <w:r>
              <w:rPr>
                <w:noProof/>
                <w:webHidden/>
              </w:rPr>
              <w:tab/>
            </w:r>
            <w:r>
              <w:rPr>
                <w:noProof/>
                <w:webHidden/>
              </w:rPr>
              <w:fldChar w:fldCharType="begin"/>
            </w:r>
            <w:r>
              <w:rPr>
                <w:noProof/>
                <w:webHidden/>
              </w:rPr>
              <w:instrText xml:space="preserve"> PAGEREF _Toc177037286 \h </w:instrText>
            </w:r>
            <w:r>
              <w:rPr>
                <w:noProof/>
                <w:webHidden/>
              </w:rPr>
            </w:r>
            <w:r>
              <w:rPr>
                <w:noProof/>
                <w:webHidden/>
              </w:rPr>
              <w:fldChar w:fldCharType="separate"/>
            </w:r>
            <w:r w:rsidR="003C70D6">
              <w:rPr>
                <w:noProof/>
                <w:webHidden/>
              </w:rPr>
              <w:t>6</w:t>
            </w:r>
            <w:r>
              <w:rPr>
                <w:noProof/>
                <w:webHidden/>
              </w:rPr>
              <w:fldChar w:fldCharType="end"/>
            </w:r>
          </w:hyperlink>
        </w:p>
        <w:p w14:paraId="626A8B52" w14:textId="02191A5F"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287" w:history="1">
            <w:r w:rsidRPr="00901E22">
              <w:rPr>
                <w:rStyle w:val="Hyperlink"/>
                <w:rFonts w:ascii="Poppins" w:hAnsi="Poppins" w:cs="Poppins"/>
                <w:noProof/>
              </w:rPr>
              <w:t>1.4</w:t>
            </w:r>
            <w:r>
              <w:rPr>
                <w:rFonts w:eastAsiaTheme="minorEastAsia"/>
                <w:noProof/>
                <w:kern w:val="2"/>
                <w:sz w:val="24"/>
                <w:szCs w:val="24"/>
                <w:lang w:eastAsia="de-DE"/>
              </w:rPr>
              <w:tab/>
            </w:r>
            <w:r w:rsidRPr="00901E22">
              <w:rPr>
                <w:rStyle w:val="Hyperlink"/>
                <w:rFonts w:ascii="Poppins" w:hAnsi="Poppins" w:cs="Poppins"/>
                <w:noProof/>
              </w:rPr>
              <w:t>Werte der HOOU</w:t>
            </w:r>
            <w:r>
              <w:rPr>
                <w:noProof/>
                <w:webHidden/>
              </w:rPr>
              <w:tab/>
            </w:r>
            <w:r>
              <w:rPr>
                <w:noProof/>
                <w:webHidden/>
              </w:rPr>
              <w:fldChar w:fldCharType="begin"/>
            </w:r>
            <w:r>
              <w:rPr>
                <w:noProof/>
                <w:webHidden/>
              </w:rPr>
              <w:instrText xml:space="preserve"> PAGEREF _Toc177037287 \h </w:instrText>
            </w:r>
            <w:r>
              <w:rPr>
                <w:noProof/>
                <w:webHidden/>
              </w:rPr>
            </w:r>
            <w:r>
              <w:rPr>
                <w:noProof/>
                <w:webHidden/>
              </w:rPr>
              <w:fldChar w:fldCharType="separate"/>
            </w:r>
            <w:r w:rsidR="003C70D6">
              <w:rPr>
                <w:noProof/>
                <w:webHidden/>
              </w:rPr>
              <w:t>6</w:t>
            </w:r>
            <w:r>
              <w:rPr>
                <w:noProof/>
                <w:webHidden/>
              </w:rPr>
              <w:fldChar w:fldCharType="end"/>
            </w:r>
          </w:hyperlink>
        </w:p>
        <w:p w14:paraId="2C6FBCDB" w14:textId="049F9825"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288" w:history="1">
            <w:r w:rsidRPr="00901E22">
              <w:rPr>
                <w:rStyle w:val="Hyperlink"/>
                <w:rFonts w:ascii="Poppins" w:hAnsi="Poppins" w:cs="Poppins"/>
                <w:noProof/>
              </w:rPr>
              <w:t>1.5</w:t>
            </w:r>
            <w:r>
              <w:rPr>
                <w:rFonts w:eastAsiaTheme="minorEastAsia"/>
                <w:noProof/>
                <w:kern w:val="2"/>
                <w:sz w:val="24"/>
                <w:szCs w:val="24"/>
                <w:lang w:eastAsia="de-DE"/>
              </w:rPr>
              <w:tab/>
            </w:r>
            <w:r w:rsidRPr="00901E22">
              <w:rPr>
                <w:rStyle w:val="Hyperlink"/>
                <w:rFonts w:ascii="Poppins" w:hAnsi="Poppins" w:cs="Poppins"/>
                <w:noProof/>
              </w:rPr>
              <w:t>Vier Leitideen der HOOU</w:t>
            </w:r>
            <w:r>
              <w:rPr>
                <w:noProof/>
                <w:webHidden/>
              </w:rPr>
              <w:tab/>
            </w:r>
            <w:r>
              <w:rPr>
                <w:noProof/>
                <w:webHidden/>
              </w:rPr>
              <w:fldChar w:fldCharType="begin"/>
            </w:r>
            <w:r>
              <w:rPr>
                <w:noProof/>
                <w:webHidden/>
              </w:rPr>
              <w:instrText xml:space="preserve"> PAGEREF _Toc177037288 \h </w:instrText>
            </w:r>
            <w:r>
              <w:rPr>
                <w:noProof/>
                <w:webHidden/>
              </w:rPr>
            </w:r>
            <w:r>
              <w:rPr>
                <w:noProof/>
                <w:webHidden/>
              </w:rPr>
              <w:fldChar w:fldCharType="separate"/>
            </w:r>
            <w:r w:rsidR="003C70D6">
              <w:rPr>
                <w:noProof/>
                <w:webHidden/>
              </w:rPr>
              <w:t>7</w:t>
            </w:r>
            <w:r>
              <w:rPr>
                <w:noProof/>
                <w:webHidden/>
              </w:rPr>
              <w:fldChar w:fldCharType="end"/>
            </w:r>
          </w:hyperlink>
        </w:p>
        <w:p w14:paraId="55ACDEE5" w14:textId="0162D45E" w:rsidR="006416ED" w:rsidRDefault="006416ED">
          <w:pPr>
            <w:pStyle w:val="Verzeichnis3"/>
            <w:tabs>
              <w:tab w:val="left" w:pos="1134"/>
              <w:tab w:val="right" w:leader="dot" w:pos="8890"/>
            </w:tabs>
            <w:rPr>
              <w:rFonts w:eastAsiaTheme="minorEastAsia"/>
              <w:noProof/>
              <w:kern w:val="2"/>
              <w:sz w:val="24"/>
              <w:szCs w:val="24"/>
              <w:lang w:eastAsia="de-DE"/>
            </w:rPr>
          </w:pPr>
          <w:hyperlink w:anchor="_Toc177037289" w:history="1">
            <w:r w:rsidRPr="00901E22">
              <w:rPr>
                <w:rStyle w:val="Hyperlink"/>
                <w:rFonts w:ascii="Poppins" w:hAnsi="Poppins" w:cs="Poppins"/>
                <w:noProof/>
              </w:rPr>
              <w:t>1.5.1</w:t>
            </w:r>
            <w:r>
              <w:rPr>
                <w:rFonts w:eastAsiaTheme="minorEastAsia"/>
                <w:noProof/>
                <w:kern w:val="2"/>
                <w:sz w:val="24"/>
                <w:szCs w:val="24"/>
                <w:lang w:eastAsia="de-DE"/>
              </w:rPr>
              <w:tab/>
            </w:r>
            <w:r w:rsidRPr="00901E22">
              <w:rPr>
                <w:rStyle w:val="Hyperlink"/>
                <w:rFonts w:ascii="Poppins" w:hAnsi="Poppins" w:cs="Poppins"/>
                <w:noProof/>
              </w:rPr>
              <w:t>Lernendenorientierung und Kollaboration</w:t>
            </w:r>
            <w:r>
              <w:rPr>
                <w:noProof/>
                <w:webHidden/>
              </w:rPr>
              <w:tab/>
            </w:r>
            <w:r>
              <w:rPr>
                <w:noProof/>
                <w:webHidden/>
              </w:rPr>
              <w:fldChar w:fldCharType="begin"/>
            </w:r>
            <w:r>
              <w:rPr>
                <w:noProof/>
                <w:webHidden/>
              </w:rPr>
              <w:instrText xml:space="preserve"> PAGEREF _Toc177037289 \h </w:instrText>
            </w:r>
            <w:r>
              <w:rPr>
                <w:noProof/>
                <w:webHidden/>
              </w:rPr>
            </w:r>
            <w:r>
              <w:rPr>
                <w:noProof/>
                <w:webHidden/>
              </w:rPr>
              <w:fldChar w:fldCharType="separate"/>
            </w:r>
            <w:r w:rsidR="003C70D6">
              <w:rPr>
                <w:noProof/>
                <w:webHidden/>
              </w:rPr>
              <w:t>7</w:t>
            </w:r>
            <w:r>
              <w:rPr>
                <w:noProof/>
                <w:webHidden/>
              </w:rPr>
              <w:fldChar w:fldCharType="end"/>
            </w:r>
          </w:hyperlink>
        </w:p>
        <w:p w14:paraId="63EFE004" w14:textId="2722C12E" w:rsidR="006416ED" w:rsidRDefault="006416ED">
          <w:pPr>
            <w:pStyle w:val="Verzeichnis3"/>
            <w:tabs>
              <w:tab w:val="left" w:pos="1134"/>
              <w:tab w:val="right" w:leader="dot" w:pos="8890"/>
            </w:tabs>
            <w:rPr>
              <w:rFonts w:eastAsiaTheme="minorEastAsia"/>
              <w:noProof/>
              <w:kern w:val="2"/>
              <w:sz w:val="24"/>
              <w:szCs w:val="24"/>
              <w:lang w:eastAsia="de-DE"/>
            </w:rPr>
          </w:pPr>
          <w:hyperlink w:anchor="_Toc177037290" w:history="1">
            <w:r w:rsidRPr="00901E22">
              <w:rPr>
                <w:rStyle w:val="Hyperlink"/>
                <w:rFonts w:ascii="Poppins" w:hAnsi="Poppins" w:cs="Poppins"/>
                <w:noProof/>
              </w:rPr>
              <w:t>1.5.2</w:t>
            </w:r>
            <w:r>
              <w:rPr>
                <w:rFonts w:eastAsiaTheme="minorEastAsia"/>
                <w:noProof/>
                <w:kern w:val="2"/>
                <w:sz w:val="24"/>
                <w:szCs w:val="24"/>
                <w:lang w:eastAsia="de-DE"/>
              </w:rPr>
              <w:tab/>
            </w:r>
            <w:r w:rsidRPr="00901E22">
              <w:rPr>
                <w:rStyle w:val="Hyperlink"/>
                <w:rFonts w:ascii="Poppins" w:hAnsi="Poppins" w:cs="Poppins"/>
                <w:noProof/>
              </w:rPr>
              <w:t>Wissenschaftlichkeit</w:t>
            </w:r>
            <w:r>
              <w:rPr>
                <w:noProof/>
                <w:webHidden/>
              </w:rPr>
              <w:tab/>
            </w:r>
            <w:r>
              <w:rPr>
                <w:noProof/>
                <w:webHidden/>
              </w:rPr>
              <w:fldChar w:fldCharType="begin"/>
            </w:r>
            <w:r>
              <w:rPr>
                <w:noProof/>
                <w:webHidden/>
              </w:rPr>
              <w:instrText xml:space="preserve"> PAGEREF _Toc177037290 \h </w:instrText>
            </w:r>
            <w:r>
              <w:rPr>
                <w:noProof/>
                <w:webHidden/>
              </w:rPr>
            </w:r>
            <w:r>
              <w:rPr>
                <w:noProof/>
                <w:webHidden/>
              </w:rPr>
              <w:fldChar w:fldCharType="separate"/>
            </w:r>
            <w:r w:rsidR="003C70D6">
              <w:rPr>
                <w:noProof/>
                <w:webHidden/>
              </w:rPr>
              <w:t>7</w:t>
            </w:r>
            <w:r>
              <w:rPr>
                <w:noProof/>
                <w:webHidden/>
              </w:rPr>
              <w:fldChar w:fldCharType="end"/>
            </w:r>
          </w:hyperlink>
        </w:p>
        <w:p w14:paraId="0471D7B8" w14:textId="3D23D19E" w:rsidR="006416ED" w:rsidRDefault="006416ED">
          <w:pPr>
            <w:pStyle w:val="Verzeichnis3"/>
            <w:tabs>
              <w:tab w:val="left" w:pos="1134"/>
              <w:tab w:val="right" w:leader="dot" w:pos="8890"/>
            </w:tabs>
            <w:rPr>
              <w:rFonts w:eastAsiaTheme="minorEastAsia"/>
              <w:noProof/>
              <w:kern w:val="2"/>
              <w:sz w:val="24"/>
              <w:szCs w:val="24"/>
              <w:lang w:eastAsia="de-DE"/>
            </w:rPr>
          </w:pPr>
          <w:hyperlink w:anchor="_Toc177037291" w:history="1">
            <w:r w:rsidRPr="00901E22">
              <w:rPr>
                <w:rStyle w:val="Hyperlink"/>
                <w:rFonts w:ascii="Poppins" w:hAnsi="Poppins" w:cs="Poppins"/>
                <w:noProof/>
              </w:rPr>
              <w:t>1.5.3</w:t>
            </w:r>
            <w:r>
              <w:rPr>
                <w:rFonts w:eastAsiaTheme="minorEastAsia"/>
                <w:noProof/>
                <w:kern w:val="2"/>
                <w:sz w:val="24"/>
                <w:szCs w:val="24"/>
                <w:lang w:eastAsia="de-DE"/>
              </w:rPr>
              <w:tab/>
            </w:r>
            <w:r w:rsidRPr="00901E22">
              <w:rPr>
                <w:rStyle w:val="Hyperlink"/>
                <w:rFonts w:ascii="Poppins" w:hAnsi="Poppins" w:cs="Poppins"/>
                <w:noProof/>
              </w:rPr>
              <w:t>Öffnung für neue Zielgruppen und zivilgesellschaftliche Relevanz</w:t>
            </w:r>
            <w:r>
              <w:rPr>
                <w:noProof/>
                <w:webHidden/>
              </w:rPr>
              <w:tab/>
            </w:r>
            <w:r>
              <w:rPr>
                <w:noProof/>
                <w:webHidden/>
              </w:rPr>
              <w:fldChar w:fldCharType="begin"/>
            </w:r>
            <w:r>
              <w:rPr>
                <w:noProof/>
                <w:webHidden/>
              </w:rPr>
              <w:instrText xml:space="preserve"> PAGEREF _Toc177037291 \h </w:instrText>
            </w:r>
            <w:r>
              <w:rPr>
                <w:noProof/>
                <w:webHidden/>
              </w:rPr>
            </w:r>
            <w:r>
              <w:rPr>
                <w:noProof/>
                <w:webHidden/>
              </w:rPr>
              <w:fldChar w:fldCharType="separate"/>
            </w:r>
            <w:r w:rsidR="003C70D6">
              <w:rPr>
                <w:noProof/>
                <w:webHidden/>
              </w:rPr>
              <w:t>8</w:t>
            </w:r>
            <w:r>
              <w:rPr>
                <w:noProof/>
                <w:webHidden/>
              </w:rPr>
              <w:fldChar w:fldCharType="end"/>
            </w:r>
          </w:hyperlink>
        </w:p>
        <w:p w14:paraId="1E6D4E4A" w14:textId="42AEF267" w:rsidR="006416ED" w:rsidRDefault="006416ED">
          <w:pPr>
            <w:pStyle w:val="Verzeichnis3"/>
            <w:tabs>
              <w:tab w:val="left" w:pos="1134"/>
              <w:tab w:val="right" w:leader="dot" w:pos="8890"/>
            </w:tabs>
            <w:rPr>
              <w:rFonts w:eastAsiaTheme="minorEastAsia"/>
              <w:noProof/>
              <w:kern w:val="2"/>
              <w:sz w:val="24"/>
              <w:szCs w:val="24"/>
              <w:lang w:eastAsia="de-DE"/>
            </w:rPr>
          </w:pPr>
          <w:hyperlink w:anchor="_Toc177037292" w:history="1">
            <w:r w:rsidRPr="00901E22">
              <w:rPr>
                <w:rStyle w:val="Hyperlink"/>
                <w:rFonts w:ascii="Poppins" w:hAnsi="Poppins" w:cs="Poppins"/>
                <w:noProof/>
              </w:rPr>
              <w:t>1.5.4</w:t>
            </w:r>
            <w:r>
              <w:rPr>
                <w:rFonts w:eastAsiaTheme="minorEastAsia"/>
                <w:noProof/>
                <w:kern w:val="2"/>
                <w:sz w:val="24"/>
                <w:szCs w:val="24"/>
                <w:lang w:eastAsia="de-DE"/>
              </w:rPr>
              <w:tab/>
            </w:r>
            <w:r w:rsidRPr="00901E22">
              <w:rPr>
                <w:rStyle w:val="Hyperlink"/>
                <w:rFonts w:ascii="Poppins" w:hAnsi="Poppins" w:cs="Poppins"/>
                <w:noProof/>
                <w:lang w:val="en-US"/>
              </w:rPr>
              <w:t>Openness</w:t>
            </w:r>
            <w:r w:rsidRPr="00901E22">
              <w:rPr>
                <w:rStyle w:val="Hyperlink"/>
                <w:rFonts w:ascii="Poppins" w:hAnsi="Poppins" w:cs="Poppins"/>
                <w:noProof/>
              </w:rPr>
              <w:t xml:space="preserve"> und OER</w:t>
            </w:r>
            <w:r>
              <w:rPr>
                <w:noProof/>
                <w:webHidden/>
              </w:rPr>
              <w:tab/>
            </w:r>
            <w:r>
              <w:rPr>
                <w:noProof/>
                <w:webHidden/>
              </w:rPr>
              <w:fldChar w:fldCharType="begin"/>
            </w:r>
            <w:r>
              <w:rPr>
                <w:noProof/>
                <w:webHidden/>
              </w:rPr>
              <w:instrText xml:space="preserve"> PAGEREF _Toc177037292 \h </w:instrText>
            </w:r>
            <w:r>
              <w:rPr>
                <w:noProof/>
                <w:webHidden/>
              </w:rPr>
            </w:r>
            <w:r>
              <w:rPr>
                <w:noProof/>
                <w:webHidden/>
              </w:rPr>
              <w:fldChar w:fldCharType="separate"/>
            </w:r>
            <w:r w:rsidR="003C70D6">
              <w:rPr>
                <w:noProof/>
                <w:webHidden/>
              </w:rPr>
              <w:t>8</w:t>
            </w:r>
            <w:r>
              <w:rPr>
                <w:noProof/>
                <w:webHidden/>
              </w:rPr>
              <w:fldChar w:fldCharType="end"/>
            </w:r>
          </w:hyperlink>
        </w:p>
        <w:p w14:paraId="6261394F" w14:textId="3B83A244" w:rsidR="006416ED" w:rsidRDefault="006416ED">
          <w:pPr>
            <w:pStyle w:val="Verzeichnis1"/>
            <w:tabs>
              <w:tab w:val="left" w:pos="440"/>
              <w:tab w:val="right" w:leader="dot" w:pos="8890"/>
            </w:tabs>
            <w:rPr>
              <w:rFonts w:eastAsiaTheme="minorEastAsia"/>
              <w:noProof/>
              <w:kern w:val="2"/>
              <w:sz w:val="24"/>
              <w:szCs w:val="24"/>
              <w:lang w:eastAsia="de-DE"/>
            </w:rPr>
          </w:pPr>
          <w:hyperlink w:anchor="_Toc177037293" w:history="1">
            <w:r w:rsidRPr="00901E22">
              <w:rPr>
                <w:rStyle w:val="Hyperlink"/>
                <w:rFonts w:ascii="Poppins" w:hAnsi="Poppins" w:cs="Poppins"/>
                <w:noProof/>
              </w:rPr>
              <w:t>2</w:t>
            </w:r>
            <w:r>
              <w:rPr>
                <w:rFonts w:eastAsiaTheme="minorEastAsia"/>
                <w:noProof/>
                <w:kern w:val="2"/>
                <w:sz w:val="24"/>
                <w:szCs w:val="24"/>
                <w:lang w:eastAsia="de-DE"/>
              </w:rPr>
              <w:tab/>
            </w:r>
            <w:r w:rsidRPr="00901E22">
              <w:rPr>
                <w:rStyle w:val="Hyperlink"/>
                <w:rFonts w:ascii="Poppins" w:hAnsi="Poppins" w:cs="Poppins"/>
                <w:noProof/>
              </w:rPr>
              <w:t>Qualität der Bildung</w:t>
            </w:r>
            <w:r>
              <w:rPr>
                <w:noProof/>
                <w:webHidden/>
              </w:rPr>
              <w:tab/>
            </w:r>
            <w:r>
              <w:rPr>
                <w:noProof/>
                <w:webHidden/>
              </w:rPr>
              <w:fldChar w:fldCharType="begin"/>
            </w:r>
            <w:r>
              <w:rPr>
                <w:noProof/>
                <w:webHidden/>
              </w:rPr>
              <w:instrText xml:space="preserve"> PAGEREF _Toc177037293 \h </w:instrText>
            </w:r>
            <w:r>
              <w:rPr>
                <w:noProof/>
                <w:webHidden/>
              </w:rPr>
            </w:r>
            <w:r>
              <w:rPr>
                <w:noProof/>
                <w:webHidden/>
              </w:rPr>
              <w:fldChar w:fldCharType="separate"/>
            </w:r>
            <w:r w:rsidR="003C70D6">
              <w:rPr>
                <w:noProof/>
                <w:webHidden/>
              </w:rPr>
              <w:t>9</w:t>
            </w:r>
            <w:r>
              <w:rPr>
                <w:noProof/>
                <w:webHidden/>
              </w:rPr>
              <w:fldChar w:fldCharType="end"/>
            </w:r>
          </w:hyperlink>
        </w:p>
        <w:p w14:paraId="46E07007" w14:textId="255DB541"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294" w:history="1">
            <w:r w:rsidRPr="00901E22">
              <w:rPr>
                <w:rStyle w:val="Hyperlink"/>
                <w:rFonts w:ascii="Poppins" w:hAnsi="Poppins" w:cs="Poppins"/>
                <w:noProof/>
                <w14:ligatures w14:val="none"/>
              </w:rPr>
              <w:t>2.1</w:t>
            </w:r>
            <w:r>
              <w:rPr>
                <w:rFonts w:eastAsiaTheme="minorEastAsia"/>
                <w:noProof/>
                <w:kern w:val="2"/>
                <w:sz w:val="24"/>
                <w:szCs w:val="24"/>
                <w:lang w:eastAsia="de-DE"/>
              </w:rPr>
              <w:tab/>
            </w:r>
            <w:r w:rsidRPr="00901E22">
              <w:rPr>
                <w:rStyle w:val="Hyperlink"/>
                <w:rFonts w:ascii="Poppins" w:hAnsi="Poppins" w:cs="Poppins"/>
                <w:noProof/>
              </w:rPr>
              <w:t>Qualität</w:t>
            </w:r>
            <w:r>
              <w:rPr>
                <w:noProof/>
                <w:webHidden/>
              </w:rPr>
              <w:tab/>
            </w:r>
            <w:r>
              <w:rPr>
                <w:noProof/>
                <w:webHidden/>
              </w:rPr>
              <w:fldChar w:fldCharType="begin"/>
            </w:r>
            <w:r>
              <w:rPr>
                <w:noProof/>
                <w:webHidden/>
              </w:rPr>
              <w:instrText xml:space="preserve"> PAGEREF _Toc177037294 \h </w:instrText>
            </w:r>
            <w:r>
              <w:rPr>
                <w:noProof/>
                <w:webHidden/>
              </w:rPr>
            </w:r>
            <w:r>
              <w:rPr>
                <w:noProof/>
                <w:webHidden/>
              </w:rPr>
              <w:fldChar w:fldCharType="separate"/>
            </w:r>
            <w:r w:rsidR="003C70D6">
              <w:rPr>
                <w:noProof/>
                <w:webHidden/>
              </w:rPr>
              <w:t>9</w:t>
            </w:r>
            <w:r>
              <w:rPr>
                <w:noProof/>
                <w:webHidden/>
              </w:rPr>
              <w:fldChar w:fldCharType="end"/>
            </w:r>
          </w:hyperlink>
        </w:p>
        <w:p w14:paraId="2B369EB3" w14:textId="5C673205" w:rsidR="006416ED" w:rsidRDefault="006416ED">
          <w:pPr>
            <w:pStyle w:val="Verzeichnis3"/>
            <w:tabs>
              <w:tab w:val="left" w:pos="1134"/>
              <w:tab w:val="right" w:leader="dot" w:pos="8890"/>
            </w:tabs>
            <w:rPr>
              <w:rFonts w:eastAsiaTheme="minorEastAsia"/>
              <w:noProof/>
              <w:kern w:val="2"/>
              <w:sz w:val="24"/>
              <w:szCs w:val="24"/>
              <w:lang w:eastAsia="de-DE"/>
            </w:rPr>
          </w:pPr>
          <w:hyperlink w:anchor="_Toc177037295" w:history="1">
            <w:r w:rsidRPr="00901E22">
              <w:rPr>
                <w:rStyle w:val="Hyperlink"/>
                <w:rFonts w:ascii="Poppins" w:hAnsi="Poppins" w:cs="Poppins"/>
                <w:noProof/>
                <w:lang w:eastAsia="de-DE"/>
              </w:rPr>
              <w:t>2.1.1</w:t>
            </w:r>
            <w:r>
              <w:rPr>
                <w:rFonts w:eastAsiaTheme="minorEastAsia"/>
                <w:noProof/>
                <w:kern w:val="2"/>
                <w:sz w:val="24"/>
                <w:szCs w:val="24"/>
                <w:lang w:eastAsia="de-DE"/>
              </w:rPr>
              <w:tab/>
            </w:r>
            <w:r w:rsidRPr="00901E22">
              <w:rPr>
                <w:rStyle w:val="Hyperlink"/>
                <w:rFonts w:ascii="Poppins" w:hAnsi="Poppins" w:cs="Poppins"/>
                <w:noProof/>
              </w:rPr>
              <w:t>Qualitätsdimensionen</w:t>
            </w:r>
            <w:r>
              <w:rPr>
                <w:noProof/>
                <w:webHidden/>
              </w:rPr>
              <w:tab/>
            </w:r>
            <w:r>
              <w:rPr>
                <w:noProof/>
                <w:webHidden/>
              </w:rPr>
              <w:fldChar w:fldCharType="begin"/>
            </w:r>
            <w:r>
              <w:rPr>
                <w:noProof/>
                <w:webHidden/>
              </w:rPr>
              <w:instrText xml:space="preserve"> PAGEREF _Toc177037295 \h </w:instrText>
            </w:r>
            <w:r>
              <w:rPr>
                <w:noProof/>
                <w:webHidden/>
              </w:rPr>
            </w:r>
            <w:r>
              <w:rPr>
                <w:noProof/>
                <w:webHidden/>
              </w:rPr>
              <w:fldChar w:fldCharType="separate"/>
            </w:r>
            <w:r w:rsidR="003C70D6">
              <w:rPr>
                <w:noProof/>
                <w:webHidden/>
              </w:rPr>
              <w:t>10</w:t>
            </w:r>
            <w:r>
              <w:rPr>
                <w:noProof/>
                <w:webHidden/>
              </w:rPr>
              <w:fldChar w:fldCharType="end"/>
            </w:r>
          </w:hyperlink>
        </w:p>
        <w:p w14:paraId="697310EB" w14:textId="7F918C21" w:rsidR="006416ED" w:rsidRDefault="006416ED">
          <w:pPr>
            <w:pStyle w:val="Verzeichnis3"/>
            <w:tabs>
              <w:tab w:val="left" w:pos="1134"/>
              <w:tab w:val="right" w:leader="dot" w:pos="8890"/>
            </w:tabs>
            <w:rPr>
              <w:rFonts w:eastAsiaTheme="minorEastAsia"/>
              <w:noProof/>
              <w:kern w:val="2"/>
              <w:sz w:val="24"/>
              <w:szCs w:val="24"/>
              <w:lang w:eastAsia="de-DE"/>
            </w:rPr>
          </w:pPr>
          <w:hyperlink w:anchor="_Toc177037296" w:history="1">
            <w:r w:rsidRPr="00901E22">
              <w:rPr>
                <w:rStyle w:val="Hyperlink"/>
                <w:rFonts w:ascii="Poppins" w:hAnsi="Poppins" w:cs="Poppins"/>
                <w:noProof/>
              </w:rPr>
              <w:t>2.1.2</w:t>
            </w:r>
            <w:r>
              <w:rPr>
                <w:rFonts w:eastAsiaTheme="minorEastAsia"/>
                <w:noProof/>
                <w:kern w:val="2"/>
                <w:sz w:val="24"/>
                <w:szCs w:val="24"/>
                <w:lang w:eastAsia="de-DE"/>
              </w:rPr>
              <w:tab/>
            </w:r>
            <w:r w:rsidRPr="00901E22">
              <w:rPr>
                <w:rStyle w:val="Hyperlink"/>
                <w:rFonts w:ascii="Poppins" w:hAnsi="Poppins" w:cs="Poppins"/>
                <w:noProof/>
              </w:rPr>
              <w:t>Bedeutung für die gelebte Praxis</w:t>
            </w:r>
            <w:r>
              <w:rPr>
                <w:noProof/>
                <w:webHidden/>
              </w:rPr>
              <w:tab/>
            </w:r>
            <w:r>
              <w:rPr>
                <w:noProof/>
                <w:webHidden/>
              </w:rPr>
              <w:fldChar w:fldCharType="begin"/>
            </w:r>
            <w:r>
              <w:rPr>
                <w:noProof/>
                <w:webHidden/>
              </w:rPr>
              <w:instrText xml:space="preserve"> PAGEREF _Toc177037296 \h </w:instrText>
            </w:r>
            <w:r>
              <w:rPr>
                <w:noProof/>
                <w:webHidden/>
              </w:rPr>
            </w:r>
            <w:r>
              <w:rPr>
                <w:noProof/>
                <w:webHidden/>
              </w:rPr>
              <w:fldChar w:fldCharType="separate"/>
            </w:r>
            <w:r w:rsidR="003C70D6">
              <w:rPr>
                <w:noProof/>
                <w:webHidden/>
              </w:rPr>
              <w:t>11</w:t>
            </w:r>
            <w:r>
              <w:rPr>
                <w:noProof/>
                <w:webHidden/>
              </w:rPr>
              <w:fldChar w:fldCharType="end"/>
            </w:r>
          </w:hyperlink>
        </w:p>
        <w:p w14:paraId="7E5CE3AE" w14:textId="2C617CF6"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297" w:history="1">
            <w:r w:rsidRPr="00901E22">
              <w:rPr>
                <w:rStyle w:val="Hyperlink"/>
                <w:rFonts w:ascii="Poppins" w:hAnsi="Poppins" w:cs="Poppins"/>
                <w:noProof/>
              </w:rPr>
              <w:t>2.2</w:t>
            </w:r>
            <w:r>
              <w:rPr>
                <w:rFonts w:eastAsiaTheme="minorEastAsia"/>
                <w:noProof/>
                <w:kern w:val="2"/>
                <w:sz w:val="24"/>
                <w:szCs w:val="24"/>
                <w:lang w:eastAsia="de-DE"/>
              </w:rPr>
              <w:tab/>
            </w:r>
            <w:r w:rsidRPr="00901E22">
              <w:rPr>
                <w:rStyle w:val="Hyperlink"/>
                <w:rFonts w:ascii="Poppins" w:hAnsi="Poppins" w:cs="Poppins"/>
                <w:noProof/>
              </w:rPr>
              <w:t>Bildung</w:t>
            </w:r>
            <w:r>
              <w:rPr>
                <w:noProof/>
                <w:webHidden/>
              </w:rPr>
              <w:tab/>
            </w:r>
            <w:r>
              <w:rPr>
                <w:noProof/>
                <w:webHidden/>
              </w:rPr>
              <w:fldChar w:fldCharType="begin"/>
            </w:r>
            <w:r>
              <w:rPr>
                <w:noProof/>
                <w:webHidden/>
              </w:rPr>
              <w:instrText xml:space="preserve"> PAGEREF _Toc177037297 \h </w:instrText>
            </w:r>
            <w:r>
              <w:rPr>
                <w:noProof/>
                <w:webHidden/>
              </w:rPr>
            </w:r>
            <w:r>
              <w:rPr>
                <w:noProof/>
                <w:webHidden/>
              </w:rPr>
              <w:fldChar w:fldCharType="separate"/>
            </w:r>
            <w:r w:rsidR="003C70D6">
              <w:rPr>
                <w:noProof/>
                <w:webHidden/>
              </w:rPr>
              <w:t>12</w:t>
            </w:r>
            <w:r>
              <w:rPr>
                <w:noProof/>
                <w:webHidden/>
              </w:rPr>
              <w:fldChar w:fldCharType="end"/>
            </w:r>
          </w:hyperlink>
        </w:p>
        <w:p w14:paraId="4C978205" w14:textId="32843881" w:rsidR="006416ED" w:rsidRDefault="006416ED">
          <w:pPr>
            <w:pStyle w:val="Verzeichnis3"/>
            <w:tabs>
              <w:tab w:val="left" w:pos="1134"/>
              <w:tab w:val="right" w:leader="dot" w:pos="8890"/>
            </w:tabs>
            <w:rPr>
              <w:rFonts w:eastAsiaTheme="minorEastAsia"/>
              <w:noProof/>
              <w:kern w:val="2"/>
              <w:sz w:val="24"/>
              <w:szCs w:val="24"/>
              <w:lang w:eastAsia="de-DE"/>
            </w:rPr>
          </w:pPr>
          <w:hyperlink w:anchor="_Toc177037298" w:history="1">
            <w:r w:rsidRPr="00901E22">
              <w:rPr>
                <w:rStyle w:val="Hyperlink"/>
                <w:rFonts w:ascii="Poppins" w:hAnsi="Poppins" w:cs="Poppins"/>
                <w:noProof/>
              </w:rPr>
              <w:t>2.2.1</w:t>
            </w:r>
            <w:r>
              <w:rPr>
                <w:rFonts w:eastAsiaTheme="minorEastAsia"/>
                <w:noProof/>
                <w:kern w:val="2"/>
                <w:sz w:val="24"/>
                <w:szCs w:val="24"/>
                <w:lang w:eastAsia="de-DE"/>
              </w:rPr>
              <w:tab/>
            </w:r>
            <w:r w:rsidRPr="00901E22">
              <w:rPr>
                <w:rStyle w:val="Hyperlink"/>
                <w:rFonts w:ascii="Poppins" w:hAnsi="Poppins" w:cs="Poppins"/>
                <w:noProof/>
              </w:rPr>
              <w:t>Offene Bildung</w:t>
            </w:r>
            <w:r>
              <w:rPr>
                <w:noProof/>
                <w:webHidden/>
              </w:rPr>
              <w:tab/>
            </w:r>
            <w:r>
              <w:rPr>
                <w:noProof/>
                <w:webHidden/>
              </w:rPr>
              <w:fldChar w:fldCharType="begin"/>
            </w:r>
            <w:r>
              <w:rPr>
                <w:noProof/>
                <w:webHidden/>
              </w:rPr>
              <w:instrText xml:space="preserve"> PAGEREF _Toc177037298 \h </w:instrText>
            </w:r>
            <w:r>
              <w:rPr>
                <w:noProof/>
                <w:webHidden/>
              </w:rPr>
            </w:r>
            <w:r>
              <w:rPr>
                <w:noProof/>
                <w:webHidden/>
              </w:rPr>
              <w:fldChar w:fldCharType="separate"/>
            </w:r>
            <w:r w:rsidR="003C70D6">
              <w:rPr>
                <w:noProof/>
                <w:webHidden/>
              </w:rPr>
              <w:t>13</w:t>
            </w:r>
            <w:r>
              <w:rPr>
                <w:noProof/>
                <w:webHidden/>
              </w:rPr>
              <w:fldChar w:fldCharType="end"/>
            </w:r>
          </w:hyperlink>
        </w:p>
        <w:p w14:paraId="6B63E4BD" w14:textId="4AB7E5DE" w:rsidR="006416ED" w:rsidRDefault="006416ED">
          <w:pPr>
            <w:pStyle w:val="Verzeichnis3"/>
            <w:tabs>
              <w:tab w:val="left" w:pos="1417"/>
              <w:tab w:val="right" w:leader="dot" w:pos="8890"/>
            </w:tabs>
            <w:rPr>
              <w:rFonts w:eastAsiaTheme="minorEastAsia"/>
              <w:noProof/>
              <w:kern w:val="2"/>
              <w:sz w:val="24"/>
              <w:szCs w:val="24"/>
              <w:lang w:eastAsia="de-DE"/>
            </w:rPr>
          </w:pPr>
          <w:hyperlink w:anchor="_Toc177037299" w:history="1">
            <w:r w:rsidRPr="00901E22">
              <w:rPr>
                <w:rStyle w:val="Hyperlink"/>
                <w:rFonts w:ascii="Poppins" w:hAnsi="Poppins" w:cs="Poppins"/>
                <w:noProof/>
              </w:rPr>
              <w:t>2.2.2</w:t>
            </w:r>
            <w:r>
              <w:rPr>
                <w:rFonts w:eastAsiaTheme="minorEastAsia"/>
                <w:noProof/>
                <w:kern w:val="2"/>
                <w:sz w:val="24"/>
                <w:szCs w:val="24"/>
                <w:lang w:eastAsia="de-DE"/>
              </w:rPr>
              <w:tab/>
            </w:r>
            <w:r w:rsidRPr="00901E22">
              <w:rPr>
                <w:rStyle w:val="Hyperlink"/>
                <w:rFonts w:ascii="Poppins" w:hAnsi="Poppins" w:cs="Poppins"/>
                <w:noProof/>
              </w:rPr>
              <w:t>Qualitätsmanagement an Hochschulen</w:t>
            </w:r>
            <w:r>
              <w:rPr>
                <w:noProof/>
                <w:webHidden/>
              </w:rPr>
              <w:tab/>
            </w:r>
            <w:r>
              <w:rPr>
                <w:noProof/>
                <w:webHidden/>
              </w:rPr>
              <w:fldChar w:fldCharType="begin"/>
            </w:r>
            <w:r>
              <w:rPr>
                <w:noProof/>
                <w:webHidden/>
              </w:rPr>
              <w:instrText xml:space="preserve"> PAGEREF _Toc177037299 \h </w:instrText>
            </w:r>
            <w:r>
              <w:rPr>
                <w:noProof/>
                <w:webHidden/>
              </w:rPr>
            </w:r>
            <w:r>
              <w:rPr>
                <w:noProof/>
                <w:webHidden/>
              </w:rPr>
              <w:fldChar w:fldCharType="separate"/>
            </w:r>
            <w:r w:rsidR="003C70D6">
              <w:rPr>
                <w:noProof/>
                <w:webHidden/>
              </w:rPr>
              <w:t>14</w:t>
            </w:r>
            <w:r>
              <w:rPr>
                <w:noProof/>
                <w:webHidden/>
              </w:rPr>
              <w:fldChar w:fldCharType="end"/>
            </w:r>
          </w:hyperlink>
        </w:p>
        <w:p w14:paraId="724B0837" w14:textId="1A9D790B" w:rsidR="006416ED" w:rsidRDefault="006416ED">
          <w:pPr>
            <w:pStyle w:val="Verzeichnis3"/>
            <w:tabs>
              <w:tab w:val="left" w:pos="1417"/>
              <w:tab w:val="right" w:leader="dot" w:pos="8890"/>
            </w:tabs>
            <w:rPr>
              <w:rFonts w:eastAsiaTheme="minorEastAsia"/>
              <w:noProof/>
              <w:kern w:val="2"/>
              <w:sz w:val="24"/>
              <w:szCs w:val="24"/>
              <w:lang w:eastAsia="de-DE"/>
            </w:rPr>
          </w:pPr>
          <w:hyperlink w:anchor="_Toc177037300" w:history="1">
            <w:r w:rsidRPr="00901E22">
              <w:rPr>
                <w:rStyle w:val="Hyperlink"/>
                <w:rFonts w:ascii="Poppins" w:hAnsi="Poppins" w:cs="Poppins"/>
                <w:bCs/>
                <w:noProof/>
              </w:rPr>
              <w:t>2.2.3</w:t>
            </w:r>
            <w:r>
              <w:rPr>
                <w:rFonts w:eastAsiaTheme="minorEastAsia"/>
                <w:noProof/>
                <w:kern w:val="2"/>
                <w:sz w:val="24"/>
                <w:szCs w:val="24"/>
                <w:lang w:eastAsia="de-DE"/>
              </w:rPr>
              <w:tab/>
            </w:r>
            <w:r w:rsidRPr="00901E22">
              <w:rPr>
                <w:rStyle w:val="Hyperlink"/>
                <w:rFonts w:ascii="Poppins" w:hAnsi="Poppins" w:cs="Poppins"/>
                <w:noProof/>
              </w:rPr>
              <w:t>Qualität von Lehr-/Lernressourcen</w:t>
            </w:r>
            <w:r>
              <w:rPr>
                <w:noProof/>
                <w:webHidden/>
              </w:rPr>
              <w:tab/>
            </w:r>
            <w:r>
              <w:rPr>
                <w:noProof/>
                <w:webHidden/>
              </w:rPr>
              <w:fldChar w:fldCharType="begin"/>
            </w:r>
            <w:r>
              <w:rPr>
                <w:noProof/>
                <w:webHidden/>
              </w:rPr>
              <w:instrText xml:space="preserve"> PAGEREF _Toc177037300 \h </w:instrText>
            </w:r>
            <w:r>
              <w:rPr>
                <w:noProof/>
                <w:webHidden/>
              </w:rPr>
            </w:r>
            <w:r>
              <w:rPr>
                <w:noProof/>
                <w:webHidden/>
              </w:rPr>
              <w:fldChar w:fldCharType="separate"/>
            </w:r>
            <w:r w:rsidR="003C70D6">
              <w:rPr>
                <w:noProof/>
                <w:webHidden/>
              </w:rPr>
              <w:t>16</w:t>
            </w:r>
            <w:r>
              <w:rPr>
                <w:noProof/>
                <w:webHidden/>
              </w:rPr>
              <w:fldChar w:fldCharType="end"/>
            </w:r>
          </w:hyperlink>
        </w:p>
        <w:p w14:paraId="43871300" w14:textId="03A8F9E9" w:rsidR="006416ED" w:rsidRDefault="006416ED">
          <w:pPr>
            <w:pStyle w:val="Verzeichnis1"/>
            <w:tabs>
              <w:tab w:val="left" w:pos="440"/>
              <w:tab w:val="right" w:leader="dot" w:pos="8890"/>
            </w:tabs>
            <w:rPr>
              <w:rFonts w:eastAsiaTheme="minorEastAsia"/>
              <w:noProof/>
              <w:kern w:val="2"/>
              <w:sz w:val="24"/>
              <w:szCs w:val="24"/>
              <w:lang w:eastAsia="de-DE"/>
            </w:rPr>
          </w:pPr>
          <w:hyperlink w:anchor="_Toc177037301" w:history="1">
            <w:r w:rsidRPr="00901E22">
              <w:rPr>
                <w:rStyle w:val="Hyperlink"/>
                <w:rFonts w:ascii="Poppins" w:hAnsi="Poppins" w:cs="Poppins"/>
                <w:noProof/>
              </w:rPr>
              <w:t>3</w:t>
            </w:r>
            <w:r>
              <w:rPr>
                <w:rFonts w:eastAsiaTheme="minorEastAsia"/>
                <w:noProof/>
                <w:kern w:val="2"/>
                <w:sz w:val="24"/>
                <w:szCs w:val="24"/>
                <w:lang w:eastAsia="de-DE"/>
              </w:rPr>
              <w:tab/>
            </w:r>
            <w:r w:rsidRPr="00901E22">
              <w:rPr>
                <w:rStyle w:val="Hyperlink"/>
                <w:rFonts w:ascii="Poppins" w:hAnsi="Poppins" w:cs="Poppins"/>
                <w:noProof/>
              </w:rPr>
              <w:t>Open Educational Resources (OER)</w:t>
            </w:r>
            <w:r>
              <w:rPr>
                <w:noProof/>
                <w:webHidden/>
              </w:rPr>
              <w:tab/>
            </w:r>
            <w:r>
              <w:rPr>
                <w:noProof/>
                <w:webHidden/>
              </w:rPr>
              <w:fldChar w:fldCharType="begin"/>
            </w:r>
            <w:r>
              <w:rPr>
                <w:noProof/>
                <w:webHidden/>
              </w:rPr>
              <w:instrText xml:space="preserve"> PAGEREF _Toc177037301 \h </w:instrText>
            </w:r>
            <w:r>
              <w:rPr>
                <w:noProof/>
                <w:webHidden/>
              </w:rPr>
            </w:r>
            <w:r>
              <w:rPr>
                <w:noProof/>
                <w:webHidden/>
              </w:rPr>
              <w:fldChar w:fldCharType="separate"/>
            </w:r>
            <w:r w:rsidR="003C70D6">
              <w:rPr>
                <w:noProof/>
                <w:webHidden/>
              </w:rPr>
              <w:t>17</w:t>
            </w:r>
            <w:r>
              <w:rPr>
                <w:noProof/>
                <w:webHidden/>
              </w:rPr>
              <w:fldChar w:fldCharType="end"/>
            </w:r>
          </w:hyperlink>
        </w:p>
        <w:p w14:paraId="2FF0CBEE" w14:textId="7554E6C8"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302" w:history="1">
            <w:r w:rsidRPr="00901E22">
              <w:rPr>
                <w:rStyle w:val="Hyperlink"/>
                <w:rFonts w:ascii="Poppins" w:hAnsi="Poppins" w:cs="Poppins"/>
                <w:noProof/>
              </w:rPr>
              <w:t>3.1</w:t>
            </w:r>
            <w:r>
              <w:rPr>
                <w:rFonts w:eastAsiaTheme="minorEastAsia"/>
                <w:noProof/>
                <w:kern w:val="2"/>
                <w:sz w:val="24"/>
                <w:szCs w:val="24"/>
                <w:lang w:eastAsia="de-DE"/>
              </w:rPr>
              <w:tab/>
            </w:r>
            <w:r w:rsidRPr="00901E22">
              <w:rPr>
                <w:rStyle w:val="Hyperlink"/>
                <w:rFonts w:ascii="Poppins" w:hAnsi="Poppins" w:cs="Poppins"/>
                <w:noProof/>
              </w:rPr>
              <w:t>Definition von OER</w:t>
            </w:r>
            <w:r>
              <w:rPr>
                <w:noProof/>
                <w:webHidden/>
              </w:rPr>
              <w:tab/>
            </w:r>
            <w:r>
              <w:rPr>
                <w:noProof/>
                <w:webHidden/>
              </w:rPr>
              <w:fldChar w:fldCharType="begin"/>
            </w:r>
            <w:r>
              <w:rPr>
                <w:noProof/>
                <w:webHidden/>
              </w:rPr>
              <w:instrText xml:space="preserve"> PAGEREF _Toc177037302 \h </w:instrText>
            </w:r>
            <w:r>
              <w:rPr>
                <w:noProof/>
                <w:webHidden/>
              </w:rPr>
            </w:r>
            <w:r>
              <w:rPr>
                <w:noProof/>
                <w:webHidden/>
              </w:rPr>
              <w:fldChar w:fldCharType="separate"/>
            </w:r>
            <w:r w:rsidR="003C70D6">
              <w:rPr>
                <w:noProof/>
                <w:webHidden/>
              </w:rPr>
              <w:t>18</w:t>
            </w:r>
            <w:r>
              <w:rPr>
                <w:noProof/>
                <w:webHidden/>
              </w:rPr>
              <w:fldChar w:fldCharType="end"/>
            </w:r>
          </w:hyperlink>
        </w:p>
        <w:p w14:paraId="43CC36A3" w14:textId="40AEE780"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303" w:history="1">
            <w:r w:rsidRPr="00901E22">
              <w:rPr>
                <w:rStyle w:val="Hyperlink"/>
                <w:rFonts w:ascii="Poppins" w:hAnsi="Poppins" w:cs="Poppins"/>
                <w:noProof/>
                <w14:ligatures w14:val="none"/>
              </w:rPr>
              <w:t>3.2</w:t>
            </w:r>
            <w:r>
              <w:rPr>
                <w:rFonts w:eastAsiaTheme="minorEastAsia"/>
                <w:noProof/>
                <w:kern w:val="2"/>
                <w:sz w:val="24"/>
                <w:szCs w:val="24"/>
                <w:lang w:eastAsia="de-DE"/>
              </w:rPr>
              <w:tab/>
            </w:r>
            <w:r w:rsidRPr="00901E22">
              <w:rPr>
                <w:rStyle w:val="Hyperlink"/>
                <w:rFonts w:ascii="Poppins" w:hAnsi="Poppins" w:cs="Poppins"/>
                <w:noProof/>
              </w:rPr>
              <w:t>5 V-Freiheiten</w:t>
            </w:r>
            <w:r>
              <w:rPr>
                <w:noProof/>
                <w:webHidden/>
              </w:rPr>
              <w:tab/>
            </w:r>
            <w:r>
              <w:rPr>
                <w:noProof/>
                <w:webHidden/>
              </w:rPr>
              <w:fldChar w:fldCharType="begin"/>
            </w:r>
            <w:r>
              <w:rPr>
                <w:noProof/>
                <w:webHidden/>
              </w:rPr>
              <w:instrText xml:space="preserve"> PAGEREF _Toc177037303 \h </w:instrText>
            </w:r>
            <w:r>
              <w:rPr>
                <w:noProof/>
                <w:webHidden/>
              </w:rPr>
            </w:r>
            <w:r>
              <w:rPr>
                <w:noProof/>
                <w:webHidden/>
              </w:rPr>
              <w:fldChar w:fldCharType="separate"/>
            </w:r>
            <w:r w:rsidR="003C70D6">
              <w:rPr>
                <w:noProof/>
                <w:webHidden/>
              </w:rPr>
              <w:t>19</w:t>
            </w:r>
            <w:r>
              <w:rPr>
                <w:noProof/>
                <w:webHidden/>
              </w:rPr>
              <w:fldChar w:fldCharType="end"/>
            </w:r>
          </w:hyperlink>
        </w:p>
        <w:p w14:paraId="0C58E881" w14:textId="7AF334F4"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304" w:history="1">
            <w:r w:rsidRPr="00901E22">
              <w:rPr>
                <w:rStyle w:val="Hyperlink"/>
                <w:rFonts w:ascii="Poppins" w:hAnsi="Poppins" w:cs="Poppins"/>
                <w:noProof/>
              </w:rPr>
              <w:t>3.3</w:t>
            </w:r>
            <w:r>
              <w:rPr>
                <w:rFonts w:eastAsiaTheme="minorEastAsia"/>
                <w:noProof/>
                <w:kern w:val="2"/>
                <w:sz w:val="24"/>
                <w:szCs w:val="24"/>
                <w:lang w:eastAsia="de-DE"/>
              </w:rPr>
              <w:tab/>
            </w:r>
            <w:r w:rsidRPr="00901E22">
              <w:rPr>
                <w:rStyle w:val="Hyperlink"/>
                <w:rFonts w:ascii="Poppins" w:hAnsi="Poppins" w:cs="Poppins"/>
                <w:noProof/>
              </w:rPr>
              <w:t>OER-Lebenszyklus</w:t>
            </w:r>
            <w:r>
              <w:rPr>
                <w:noProof/>
                <w:webHidden/>
              </w:rPr>
              <w:tab/>
            </w:r>
            <w:r>
              <w:rPr>
                <w:noProof/>
                <w:webHidden/>
              </w:rPr>
              <w:fldChar w:fldCharType="begin"/>
            </w:r>
            <w:r>
              <w:rPr>
                <w:noProof/>
                <w:webHidden/>
              </w:rPr>
              <w:instrText xml:space="preserve"> PAGEREF _Toc177037304 \h </w:instrText>
            </w:r>
            <w:r>
              <w:rPr>
                <w:noProof/>
                <w:webHidden/>
              </w:rPr>
            </w:r>
            <w:r>
              <w:rPr>
                <w:noProof/>
                <w:webHidden/>
              </w:rPr>
              <w:fldChar w:fldCharType="separate"/>
            </w:r>
            <w:r w:rsidR="003C70D6">
              <w:rPr>
                <w:noProof/>
                <w:webHidden/>
              </w:rPr>
              <w:t>19</w:t>
            </w:r>
            <w:r>
              <w:rPr>
                <w:noProof/>
                <w:webHidden/>
              </w:rPr>
              <w:fldChar w:fldCharType="end"/>
            </w:r>
          </w:hyperlink>
        </w:p>
        <w:p w14:paraId="49DC55CF" w14:textId="3976392F"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305" w:history="1">
            <w:r w:rsidRPr="00901E22">
              <w:rPr>
                <w:rStyle w:val="Hyperlink"/>
                <w:rFonts w:ascii="Poppins" w:hAnsi="Poppins" w:cs="Poppins"/>
                <w:noProof/>
              </w:rPr>
              <w:t>3.4</w:t>
            </w:r>
            <w:r>
              <w:rPr>
                <w:rFonts w:eastAsiaTheme="minorEastAsia"/>
                <w:noProof/>
                <w:kern w:val="2"/>
                <w:sz w:val="24"/>
                <w:szCs w:val="24"/>
                <w:lang w:eastAsia="de-DE"/>
              </w:rPr>
              <w:tab/>
            </w:r>
            <w:r w:rsidRPr="00901E22">
              <w:rPr>
                <w:rStyle w:val="Hyperlink"/>
                <w:rFonts w:ascii="Poppins" w:hAnsi="Poppins" w:cs="Poppins"/>
                <w:noProof/>
              </w:rPr>
              <w:t>Mehrwert von OER</w:t>
            </w:r>
            <w:r>
              <w:rPr>
                <w:noProof/>
                <w:webHidden/>
              </w:rPr>
              <w:tab/>
            </w:r>
            <w:r>
              <w:rPr>
                <w:noProof/>
                <w:webHidden/>
              </w:rPr>
              <w:fldChar w:fldCharType="begin"/>
            </w:r>
            <w:r>
              <w:rPr>
                <w:noProof/>
                <w:webHidden/>
              </w:rPr>
              <w:instrText xml:space="preserve"> PAGEREF _Toc177037305 \h </w:instrText>
            </w:r>
            <w:r>
              <w:rPr>
                <w:noProof/>
                <w:webHidden/>
              </w:rPr>
            </w:r>
            <w:r>
              <w:rPr>
                <w:noProof/>
                <w:webHidden/>
              </w:rPr>
              <w:fldChar w:fldCharType="separate"/>
            </w:r>
            <w:r w:rsidR="003C70D6">
              <w:rPr>
                <w:noProof/>
                <w:webHidden/>
              </w:rPr>
              <w:t>20</w:t>
            </w:r>
            <w:r>
              <w:rPr>
                <w:noProof/>
                <w:webHidden/>
              </w:rPr>
              <w:fldChar w:fldCharType="end"/>
            </w:r>
          </w:hyperlink>
        </w:p>
        <w:p w14:paraId="24D4C1D7" w14:textId="532F0BE9"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306" w:history="1">
            <w:r w:rsidRPr="00901E22">
              <w:rPr>
                <w:rStyle w:val="Hyperlink"/>
                <w:rFonts w:ascii="Poppins" w:eastAsia="Aptos" w:hAnsi="Poppins" w:cs="Poppins"/>
                <w:noProof/>
              </w:rPr>
              <w:t>3.5</w:t>
            </w:r>
            <w:r>
              <w:rPr>
                <w:rFonts w:eastAsiaTheme="minorEastAsia"/>
                <w:noProof/>
                <w:kern w:val="2"/>
                <w:sz w:val="24"/>
                <w:szCs w:val="24"/>
                <w:lang w:eastAsia="de-DE"/>
              </w:rPr>
              <w:tab/>
            </w:r>
            <w:r w:rsidRPr="00901E22">
              <w:rPr>
                <w:rStyle w:val="Hyperlink"/>
                <w:rFonts w:ascii="Poppins" w:eastAsia="Aptos" w:hAnsi="Poppins" w:cs="Poppins"/>
                <w:noProof/>
              </w:rPr>
              <w:t>Herausforderungen und Beschränkungen</w:t>
            </w:r>
            <w:r>
              <w:rPr>
                <w:noProof/>
                <w:webHidden/>
              </w:rPr>
              <w:tab/>
            </w:r>
            <w:r>
              <w:rPr>
                <w:noProof/>
                <w:webHidden/>
              </w:rPr>
              <w:fldChar w:fldCharType="begin"/>
            </w:r>
            <w:r>
              <w:rPr>
                <w:noProof/>
                <w:webHidden/>
              </w:rPr>
              <w:instrText xml:space="preserve"> PAGEREF _Toc177037306 \h </w:instrText>
            </w:r>
            <w:r>
              <w:rPr>
                <w:noProof/>
                <w:webHidden/>
              </w:rPr>
            </w:r>
            <w:r>
              <w:rPr>
                <w:noProof/>
                <w:webHidden/>
              </w:rPr>
              <w:fldChar w:fldCharType="separate"/>
            </w:r>
            <w:r w:rsidR="003C70D6">
              <w:rPr>
                <w:noProof/>
                <w:webHidden/>
              </w:rPr>
              <w:t>22</w:t>
            </w:r>
            <w:r>
              <w:rPr>
                <w:noProof/>
                <w:webHidden/>
              </w:rPr>
              <w:fldChar w:fldCharType="end"/>
            </w:r>
          </w:hyperlink>
        </w:p>
        <w:p w14:paraId="111D0E34" w14:textId="53D98F9F" w:rsidR="006416ED" w:rsidRDefault="006416ED">
          <w:pPr>
            <w:pStyle w:val="Verzeichnis1"/>
            <w:tabs>
              <w:tab w:val="left" w:pos="440"/>
              <w:tab w:val="right" w:leader="dot" w:pos="8890"/>
            </w:tabs>
            <w:rPr>
              <w:rFonts w:eastAsiaTheme="minorEastAsia"/>
              <w:noProof/>
              <w:kern w:val="2"/>
              <w:sz w:val="24"/>
              <w:szCs w:val="24"/>
              <w:lang w:eastAsia="de-DE"/>
            </w:rPr>
          </w:pPr>
          <w:hyperlink w:anchor="_Toc177037307" w:history="1">
            <w:r w:rsidRPr="00901E22">
              <w:rPr>
                <w:rStyle w:val="Hyperlink"/>
                <w:rFonts w:ascii="Poppins" w:hAnsi="Poppins" w:cs="Poppins"/>
                <w:noProof/>
              </w:rPr>
              <w:t>4</w:t>
            </w:r>
            <w:r>
              <w:rPr>
                <w:rFonts w:eastAsiaTheme="minorEastAsia"/>
                <w:noProof/>
                <w:kern w:val="2"/>
                <w:sz w:val="24"/>
                <w:szCs w:val="24"/>
                <w:lang w:eastAsia="de-DE"/>
              </w:rPr>
              <w:tab/>
            </w:r>
            <w:r w:rsidRPr="00901E22">
              <w:rPr>
                <w:rStyle w:val="Hyperlink"/>
                <w:rFonts w:ascii="Poppins" w:hAnsi="Poppins" w:cs="Poppins"/>
                <w:noProof/>
              </w:rPr>
              <w:t>Qualität von OER</w:t>
            </w:r>
            <w:r>
              <w:rPr>
                <w:noProof/>
                <w:webHidden/>
              </w:rPr>
              <w:tab/>
            </w:r>
            <w:r>
              <w:rPr>
                <w:noProof/>
                <w:webHidden/>
              </w:rPr>
              <w:fldChar w:fldCharType="begin"/>
            </w:r>
            <w:r>
              <w:rPr>
                <w:noProof/>
                <w:webHidden/>
              </w:rPr>
              <w:instrText xml:space="preserve"> PAGEREF _Toc177037307 \h </w:instrText>
            </w:r>
            <w:r>
              <w:rPr>
                <w:noProof/>
                <w:webHidden/>
              </w:rPr>
            </w:r>
            <w:r>
              <w:rPr>
                <w:noProof/>
                <w:webHidden/>
              </w:rPr>
              <w:fldChar w:fldCharType="separate"/>
            </w:r>
            <w:r w:rsidR="003C70D6">
              <w:rPr>
                <w:noProof/>
                <w:webHidden/>
              </w:rPr>
              <w:t>24</w:t>
            </w:r>
            <w:r>
              <w:rPr>
                <w:noProof/>
                <w:webHidden/>
              </w:rPr>
              <w:fldChar w:fldCharType="end"/>
            </w:r>
          </w:hyperlink>
        </w:p>
        <w:p w14:paraId="22B6A41A" w14:textId="10241320"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308" w:history="1">
            <w:r w:rsidRPr="00901E22">
              <w:rPr>
                <w:rStyle w:val="Hyperlink"/>
                <w:rFonts w:ascii="Poppins" w:hAnsi="Poppins" w:cs="Poppins"/>
                <w:noProof/>
              </w:rPr>
              <w:t>4.1</w:t>
            </w:r>
            <w:r>
              <w:rPr>
                <w:rFonts w:eastAsiaTheme="minorEastAsia"/>
                <w:noProof/>
                <w:kern w:val="2"/>
                <w:sz w:val="24"/>
                <w:szCs w:val="24"/>
                <w:lang w:eastAsia="de-DE"/>
              </w:rPr>
              <w:tab/>
            </w:r>
            <w:r w:rsidRPr="00901E22">
              <w:rPr>
                <w:rStyle w:val="Hyperlink"/>
                <w:rFonts w:ascii="Poppins" w:hAnsi="Poppins" w:cs="Poppins"/>
                <w:noProof/>
              </w:rPr>
              <w:t>Besonderheiten der Qualitätssicherung von OER</w:t>
            </w:r>
            <w:r>
              <w:rPr>
                <w:noProof/>
                <w:webHidden/>
              </w:rPr>
              <w:tab/>
            </w:r>
            <w:r>
              <w:rPr>
                <w:noProof/>
                <w:webHidden/>
              </w:rPr>
              <w:fldChar w:fldCharType="begin"/>
            </w:r>
            <w:r>
              <w:rPr>
                <w:noProof/>
                <w:webHidden/>
              </w:rPr>
              <w:instrText xml:space="preserve"> PAGEREF _Toc177037308 \h </w:instrText>
            </w:r>
            <w:r>
              <w:rPr>
                <w:noProof/>
                <w:webHidden/>
              </w:rPr>
            </w:r>
            <w:r>
              <w:rPr>
                <w:noProof/>
                <w:webHidden/>
              </w:rPr>
              <w:fldChar w:fldCharType="separate"/>
            </w:r>
            <w:r w:rsidR="003C70D6">
              <w:rPr>
                <w:noProof/>
                <w:webHidden/>
              </w:rPr>
              <w:t>25</w:t>
            </w:r>
            <w:r>
              <w:rPr>
                <w:noProof/>
                <w:webHidden/>
              </w:rPr>
              <w:fldChar w:fldCharType="end"/>
            </w:r>
          </w:hyperlink>
        </w:p>
        <w:p w14:paraId="53C250A9" w14:textId="083A7B9B"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309" w:history="1">
            <w:r w:rsidRPr="00901E22">
              <w:rPr>
                <w:rStyle w:val="Hyperlink"/>
                <w:rFonts w:ascii="Poppins" w:hAnsi="Poppins" w:cs="Poppins"/>
                <w:noProof/>
              </w:rPr>
              <w:t>4.2</w:t>
            </w:r>
            <w:r>
              <w:rPr>
                <w:rFonts w:eastAsiaTheme="minorEastAsia"/>
                <w:noProof/>
                <w:kern w:val="2"/>
                <w:sz w:val="24"/>
                <w:szCs w:val="24"/>
                <w:lang w:eastAsia="de-DE"/>
              </w:rPr>
              <w:tab/>
            </w:r>
            <w:r w:rsidRPr="00901E22">
              <w:rPr>
                <w:rStyle w:val="Hyperlink"/>
                <w:rFonts w:ascii="Poppins" w:hAnsi="Poppins" w:cs="Poppins"/>
                <w:noProof/>
              </w:rPr>
              <w:t>OER-Qualifizierung</w:t>
            </w:r>
            <w:r>
              <w:rPr>
                <w:noProof/>
                <w:webHidden/>
              </w:rPr>
              <w:tab/>
            </w:r>
            <w:r>
              <w:rPr>
                <w:noProof/>
                <w:webHidden/>
              </w:rPr>
              <w:fldChar w:fldCharType="begin"/>
            </w:r>
            <w:r>
              <w:rPr>
                <w:noProof/>
                <w:webHidden/>
              </w:rPr>
              <w:instrText xml:space="preserve"> PAGEREF _Toc177037309 \h </w:instrText>
            </w:r>
            <w:r>
              <w:rPr>
                <w:noProof/>
                <w:webHidden/>
              </w:rPr>
            </w:r>
            <w:r>
              <w:rPr>
                <w:noProof/>
                <w:webHidden/>
              </w:rPr>
              <w:fldChar w:fldCharType="separate"/>
            </w:r>
            <w:r w:rsidR="003C70D6">
              <w:rPr>
                <w:noProof/>
                <w:webHidden/>
              </w:rPr>
              <w:t>26</w:t>
            </w:r>
            <w:r>
              <w:rPr>
                <w:noProof/>
                <w:webHidden/>
              </w:rPr>
              <w:fldChar w:fldCharType="end"/>
            </w:r>
          </w:hyperlink>
        </w:p>
        <w:p w14:paraId="609D4DB7" w14:textId="37081B32"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310" w:history="1">
            <w:r w:rsidRPr="00901E22">
              <w:rPr>
                <w:rStyle w:val="Hyperlink"/>
                <w:rFonts w:ascii="Poppins" w:hAnsi="Poppins" w:cs="Poppins"/>
                <w:noProof/>
                <w14:ligatures w14:val="none"/>
              </w:rPr>
              <w:t>4.3</w:t>
            </w:r>
            <w:r>
              <w:rPr>
                <w:rFonts w:eastAsiaTheme="minorEastAsia"/>
                <w:noProof/>
                <w:kern w:val="2"/>
                <w:sz w:val="24"/>
                <w:szCs w:val="24"/>
                <w:lang w:eastAsia="de-DE"/>
              </w:rPr>
              <w:tab/>
            </w:r>
            <w:r w:rsidRPr="00901E22">
              <w:rPr>
                <w:rStyle w:val="Hyperlink"/>
                <w:rFonts w:ascii="Poppins" w:hAnsi="Poppins" w:cs="Poppins"/>
                <w:noProof/>
              </w:rPr>
              <w:t>Bereitstellung von Ressourcen</w:t>
            </w:r>
            <w:r>
              <w:rPr>
                <w:noProof/>
                <w:webHidden/>
              </w:rPr>
              <w:tab/>
            </w:r>
            <w:r>
              <w:rPr>
                <w:noProof/>
                <w:webHidden/>
              </w:rPr>
              <w:fldChar w:fldCharType="begin"/>
            </w:r>
            <w:r>
              <w:rPr>
                <w:noProof/>
                <w:webHidden/>
              </w:rPr>
              <w:instrText xml:space="preserve"> PAGEREF _Toc177037310 \h </w:instrText>
            </w:r>
            <w:r>
              <w:rPr>
                <w:noProof/>
                <w:webHidden/>
              </w:rPr>
            </w:r>
            <w:r>
              <w:rPr>
                <w:noProof/>
                <w:webHidden/>
              </w:rPr>
              <w:fldChar w:fldCharType="separate"/>
            </w:r>
            <w:r w:rsidR="003C70D6">
              <w:rPr>
                <w:noProof/>
                <w:webHidden/>
              </w:rPr>
              <w:t>28</w:t>
            </w:r>
            <w:r>
              <w:rPr>
                <w:noProof/>
                <w:webHidden/>
              </w:rPr>
              <w:fldChar w:fldCharType="end"/>
            </w:r>
          </w:hyperlink>
        </w:p>
        <w:p w14:paraId="0DBB5C05" w14:textId="4DC1780B"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311" w:history="1">
            <w:r w:rsidRPr="00901E22">
              <w:rPr>
                <w:rStyle w:val="Hyperlink"/>
                <w:rFonts w:ascii="Poppins" w:hAnsi="Poppins" w:cs="Poppins"/>
                <w:noProof/>
              </w:rPr>
              <w:t>4.4</w:t>
            </w:r>
            <w:r>
              <w:rPr>
                <w:rFonts w:eastAsiaTheme="minorEastAsia"/>
                <w:noProof/>
                <w:kern w:val="2"/>
                <w:sz w:val="24"/>
                <w:szCs w:val="24"/>
                <w:lang w:eastAsia="de-DE"/>
              </w:rPr>
              <w:tab/>
            </w:r>
            <w:r w:rsidRPr="00901E22">
              <w:rPr>
                <w:rStyle w:val="Hyperlink"/>
                <w:rFonts w:ascii="Poppins" w:hAnsi="Poppins" w:cs="Poppins"/>
                <w:noProof/>
              </w:rPr>
              <w:t>QER-Institutionen</w:t>
            </w:r>
            <w:r>
              <w:rPr>
                <w:noProof/>
                <w:webHidden/>
              </w:rPr>
              <w:tab/>
            </w:r>
            <w:r>
              <w:rPr>
                <w:noProof/>
                <w:webHidden/>
              </w:rPr>
              <w:fldChar w:fldCharType="begin"/>
            </w:r>
            <w:r>
              <w:rPr>
                <w:noProof/>
                <w:webHidden/>
              </w:rPr>
              <w:instrText xml:space="preserve"> PAGEREF _Toc177037311 \h </w:instrText>
            </w:r>
            <w:r>
              <w:rPr>
                <w:noProof/>
                <w:webHidden/>
              </w:rPr>
            </w:r>
            <w:r>
              <w:rPr>
                <w:noProof/>
                <w:webHidden/>
              </w:rPr>
              <w:fldChar w:fldCharType="separate"/>
            </w:r>
            <w:r w:rsidR="003C70D6">
              <w:rPr>
                <w:noProof/>
                <w:webHidden/>
              </w:rPr>
              <w:t>29</w:t>
            </w:r>
            <w:r>
              <w:rPr>
                <w:noProof/>
                <w:webHidden/>
              </w:rPr>
              <w:fldChar w:fldCharType="end"/>
            </w:r>
          </w:hyperlink>
        </w:p>
        <w:p w14:paraId="67C5ECED" w14:textId="7FF867DA" w:rsidR="006416ED" w:rsidRDefault="006416ED">
          <w:pPr>
            <w:pStyle w:val="Verzeichnis1"/>
            <w:tabs>
              <w:tab w:val="left" w:pos="440"/>
              <w:tab w:val="right" w:leader="dot" w:pos="8890"/>
            </w:tabs>
            <w:rPr>
              <w:rFonts w:eastAsiaTheme="minorEastAsia"/>
              <w:noProof/>
              <w:kern w:val="2"/>
              <w:sz w:val="24"/>
              <w:szCs w:val="24"/>
              <w:lang w:eastAsia="de-DE"/>
            </w:rPr>
          </w:pPr>
          <w:hyperlink w:anchor="_Toc177037312" w:history="1">
            <w:r w:rsidRPr="00901E22">
              <w:rPr>
                <w:rStyle w:val="Hyperlink"/>
                <w:rFonts w:ascii="Poppins" w:hAnsi="Poppins" w:cs="Poppins"/>
                <w:noProof/>
              </w:rPr>
              <w:t>5</w:t>
            </w:r>
            <w:r>
              <w:rPr>
                <w:rFonts w:eastAsiaTheme="minorEastAsia"/>
                <w:noProof/>
                <w:kern w:val="2"/>
                <w:sz w:val="24"/>
                <w:szCs w:val="24"/>
                <w:lang w:eastAsia="de-DE"/>
              </w:rPr>
              <w:tab/>
            </w:r>
            <w:r w:rsidRPr="00901E22">
              <w:rPr>
                <w:rStyle w:val="Hyperlink"/>
                <w:rFonts w:ascii="Poppins" w:hAnsi="Poppins" w:cs="Poppins"/>
                <w:noProof/>
              </w:rPr>
              <w:t>Gewährleistung der Qualität an der HOOU</w:t>
            </w:r>
            <w:r>
              <w:rPr>
                <w:noProof/>
                <w:webHidden/>
              </w:rPr>
              <w:tab/>
            </w:r>
            <w:r>
              <w:rPr>
                <w:noProof/>
                <w:webHidden/>
              </w:rPr>
              <w:fldChar w:fldCharType="begin"/>
            </w:r>
            <w:r>
              <w:rPr>
                <w:noProof/>
                <w:webHidden/>
              </w:rPr>
              <w:instrText xml:space="preserve"> PAGEREF _Toc177037312 \h </w:instrText>
            </w:r>
            <w:r>
              <w:rPr>
                <w:noProof/>
                <w:webHidden/>
              </w:rPr>
            </w:r>
            <w:r>
              <w:rPr>
                <w:noProof/>
                <w:webHidden/>
              </w:rPr>
              <w:fldChar w:fldCharType="separate"/>
            </w:r>
            <w:r w:rsidR="003C70D6">
              <w:rPr>
                <w:noProof/>
                <w:webHidden/>
              </w:rPr>
              <w:t>31</w:t>
            </w:r>
            <w:r>
              <w:rPr>
                <w:noProof/>
                <w:webHidden/>
              </w:rPr>
              <w:fldChar w:fldCharType="end"/>
            </w:r>
          </w:hyperlink>
        </w:p>
        <w:p w14:paraId="2F1F3A62" w14:textId="782F03FA"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313" w:history="1">
            <w:r w:rsidRPr="00901E22">
              <w:rPr>
                <w:rStyle w:val="Hyperlink"/>
                <w:rFonts w:ascii="Poppins" w:hAnsi="Poppins" w:cs="Poppins"/>
                <w:noProof/>
              </w:rPr>
              <w:t>5.1</w:t>
            </w:r>
            <w:r>
              <w:rPr>
                <w:rFonts w:eastAsiaTheme="minorEastAsia"/>
                <w:noProof/>
                <w:kern w:val="2"/>
                <w:sz w:val="24"/>
                <w:szCs w:val="24"/>
                <w:lang w:eastAsia="de-DE"/>
              </w:rPr>
              <w:tab/>
            </w:r>
            <w:r w:rsidRPr="00901E22">
              <w:rPr>
                <w:rStyle w:val="Hyperlink"/>
                <w:rFonts w:ascii="Poppins" w:hAnsi="Poppins" w:cs="Poppins"/>
                <w:noProof/>
              </w:rPr>
              <w:t>Das Qualitätsverständnis der HOOU</w:t>
            </w:r>
            <w:r>
              <w:rPr>
                <w:noProof/>
                <w:webHidden/>
              </w:rPr>
              <w:tab/>
            </w:r>
            <w:r>
              <w:rPr>
                <w:noProof/>
                <w:webHidden/>
              </w:rPr>
              <w:fldChar w:fldCharType="begin"/>
            </w:r>
            <w:r>
              <w:rPr>
                <w:noProof/>
                <w:webHidden/>
              </w:rPr>
              <w:instrText xml:space="preserve"> PAGEREF _Toc177037313 \h </w:instrText>
            </w:r>
            <w:r>
              <w:rPr>
                <w:noProof/>
                <w:webHidden/>
              </w:rPr>
            </w:r>
            <w:r>
              <w:rPr>
                <w:noProof/>
                <w:webHidden/>
              </w:rPr>
              <w:fldChar w:fldCharType="separate"/>
            </w:r>
            <w:r w:rsidR="003C70D6">
              <w:rPr>
                <w:noProof/>
                <w:webHidden/>
              </w:rPr>
              <w:t>31</w:t>
            </w:r>
            <w:r>
              <w:rPr>
                <w:noProof/>
                <w:webHidden/>
              </w:rPr>
              <w:fldChar w:fldCharType="end"/>
            </w:r>
          </w:hyperlink>
        </w:p>
        <w:p w14:paraId="5C0F85DC" w14:textId="455BF9E6"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314" w:history="1">
            <w:r w:rsidRPr="00901E22">
              <w:rPr>
                <w:rStyle w:val="Hyperlink"/>
                <w:rFonts w:ascii="Poppins" w:hAnsi="Poppins" w:cs="Poppins"/>
                <w:noProof/>
              </w:rPr>
              <w:t>5.2</w:t>
            </w:r>
            <w:r>
              <w:rPr>
                <w:rFonts w:eastAsiaTheme="minorEastAsia"/>
                <w:noProof/>
                <w:kern w:val="2"/>
                <w:sz w:val="24"/>
                <w:szCs w:val="24"/>
                <w:lang w:eastAsia="de-DE"/>
              </w:rPr>
              <w:tab/>
            </w:r>
            <w:r w:rsidRPr="00901E22">
              <w:rPr>
                <w:rStyle w:val="Hyperlink"/>
                <w:rFonts w:ascii="Poppins" w:hAnsi="Poppins" w:cs="Poppins"/>
                <w:noProof/>
              </w:rPr>
              <w:t>OER-Qualitätskriterienset (HOOU)</w:t>
            </w:r>
            <w:r>
              <w:rPr>
                <w:noProof/>
                <w:webHidden/>
              </w:rPr>
              <w:tab/>
            </w:r>
            <w:r>
              <w:rPr>
                <w:noProof/>
                <w:webHidden/>
              </w:rPr>
              <w:fldChar w:fldCharType="begin"/>
            </w:r>
            <w:r>
              <w:rPr>
                <w:noProof/>
                <w:webHidden/>
              </w:rPr>
              <w:instrText xml:space="preserve"> PAGEREF _Toc177037314 \h </w:instrText>
            </w:r>
            <w:r>
              <w:rPr>
                <w:noProof/>
                <w:webHidden/>
              </w:rPr>
            </w:r>
            <w:r>
              <w:rPr>
                <w:noProof/>
                <w:webHidden/>
              </w:rPr>
              <w:fldChar w:fldCharType="separate"/>
            </w:r>
            <w:r w:rsidR="003C70D6">
              <w:rPr>
                <w:noProof/>
                <w:webHidden/>
              </w:rPr>
              <w:t>32</w:t>
            </w:r>
            <w:r>
              <w:rPr>
                <w:noProof/>
                <w:webHidden/>
              </w:rPr>
              <w:fldChar w:fldCharType="end"/>
            </w:r>
          </w:hyperlink>
        </w:p>
        <w:p w14:paraId="5A8F34F8" w14:textId="229A96AB"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315" w:history="1">
            <w:r w:rsidRPr="00901E22">
              <w:rPr>
                <w:rStyle w:val="Hyperlink"/>
                <w:rFonts w:ascii="Poppins" w:hAnsi="Poppins" w:cs="Poppins"/>
                <w:noProof/>
              </w:rPr>
              <w:t>5.3</w:t>
            </w:r>
            <w:r>
              <w:rPr>
                <w:rFonts w:eastAsiaTheme="minorEastAsia"/>
                <w:noProof/>
                <w:kern w:val="2"/>
                <w:sz w:val="24"/>
                <w:szCs w:val="24"/>
                <w:lang w:eastAsia="de-DE"/>
              </w:rPr>
              <w:tab/>
            </w:r>
            <w:r w:rsidRPr="00901E22">
              <w:rPr>
                <w:rStyle w:val="Hyperlink"/>
                <w:rFonts w:ascii="Poppins" w:hAnsi="Poppins" w:cs="Poppins"/>
                <w:noProof/>
              </w:rPr>
              <w:t xml:space="preserve">Instrument zur Qualitätssicherung von OER – IQOer </w:t>
            </w:r>
            <w:r>
              <w:rPr>
                <w:rStyle w:val="Hyperlink"/>
                <w:rFonts w:ascii="Poppins" w:hAnsi="Poppins" w:cs="Poppins"/>
                <w:noProof/>
              </w:rPr>
              <w:br/>
            </w:r>
            <w:r w:rsidRPr="00901E22">
              <w:rPr>
                <w:rStyle w:val="Hyperlink"/>
                <w:rFonts w:ascii="Poppins" w:hAnsi="Poppins" w:cs="Poppins"/>
                <w:noProof/>
              </w:rPr>
              <w:t>– Entwicklungsversion 17</w:t>
            </w:r>
            <w:r>
              <w:rPr>
                <w:noProof/>
                <w:webHidden/>
              </w:rPr>
              <w:tab/>
            </w:r>
            <w:r>
              <w:rPr>
                <w:noProof/>
                <w:webHidden/>
              </w:rPr>
              <w:fldChar w:fldCharType="begin"/>
            </w:r>
            <w:r>
              <w:rPr>
                <w:noProof/>
                <w:webHidden/>
              </w:rPr>
              <w:instrText xml:space="preserve"> PAGEREF _Toc177037315 \h </w:instrText>
            </w:r>
            <w:r>
              <w:rPr>
                <w:noProof/>
                <w:webHidden/>
              </w:rPr>
            </w:r>
            <w:r>
              <w:rPr>
                <w:noProof/>
                <w:webHidden/>
              </w:rPr>
              <w:fldChar w:fldCharType="separate"/>
            </w:r>
            <w:r w:rsidR="003C70D6">
              <w:rPr>
                <w:noProof/>
                <w:webHidden/>
              </w:rPr>
              <w:t>33</w:t>
            </w:r>
            <w:r>
              <w:rPr>
                <w:noProof/>
                <w:webHidden/>
              </w:rPr>
              <w:fldChar w:fldCharType="end"/>
            </w:r>
          </w:hyperlink>
        </w:p>
        <w:p w14:paraId="42EFE516" w14:textId="636AB39B"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316" w:history="1">
            <w:r w:rsidRPr="00901E22">
              <w:rPr>
                <w:rStyle w:val="Hyperlink"/>
                <w:rFonts w:ascii="Poppins" w:hAnsi="Poppins" w:cs="Poppins"/>
                <w:noProof/>
              </w:rPr>
              <w:t>5.4</w:t>
            </w:r>
            <w:r>
              <w:rPr>
                <w:rFonts w:eastAsiaTheme="minorEastAsia"/>
                <w:noProof/>
                <w:kern w:val="2"/>
                <w:sz w:val="24"/>
                <w:szCs w:val="24"/>
                <w:lang w:eastAsia="de-DE"/>
              </w:rPr>
              <w:tab/>
            </w:r>
            <w:r w:rsidRPr="00901E22">
              <w:rPr>
                <w:rStyle w:val="Hyperlink"/>
                <w:rFonts w:ascii="Poppins" w:hAnsi="Poppins" w:cs="Poppins"/>
                <w:noProof/>
              </w:rPr>
              <w:t>Vier HOOU-Qualitätskriterien</w:t>
            </w:r>
            <w:r>
              <w:rPr>
                <w:noProof/>
                <w:webHidden/>
              </w:rPr>
              <w:tab/>
            </w:r>
            <w:r>
              <w:rPr>
                <w:noProof/>
                <w:webHidden/>
              </w:rPr>
              <w:fldChar w:fldCharType="begin"/>
            </w:r>
            <w:r>
              <w:rPr>
                <w:noProof/>
                <w:webHidden/>
              </w:rPr>
              <w:instrText xml:space="preserve"> PAGEREF _Toc177037316 \h </w:instrText>
            </w:r>
            <w:r>
              <w:rPr>
                <w:noProof/>
                <w:webHidden/>
              </w:rPr>
            </w:r>
            <w:r>
              <w:rPr>
                <w:noProof/>
                <w:webHidden/>
              </w:rPr>
              <w:fldChar w:fldCharType="separate"/>
            </w:r>
            <w:r w:rsidR="003C70D6">
              <w:rPr>
                <w:noProof/>
                <w:webHidden/>
              </w:rPr>
              <w:t>36</w:t>
            </w:r>
            <w:r>
              <w:rPr>
                <w:noProof/>
                <w:webHidden/>
              </w:rPr>
              <w:fldChar w:fldCharType="end"/>
            </w:r>
          </w:hyperlink>
        </w:p>
        <w:p w14:paraId="0834526A" w14:textId="39771467" w:rsidR="006416ED" w:rsidRDefault="006416ED">
          <w:pPr>
            <w:pStyle w:val="Verzeichnis3"/>
            <w:tabs>
              <w:tab w:val="left" w:pos="1134"/>
              <w:tab w:val="right" w:leader="dot" w:pos="8890"/>
            </w:tabs>
            <w:rPr>
              <w:rFonts w:eastAsiaTheme="minorEastAsia"/>
              <w:noProof/>
              <w:kern w:val="2"/>
              <w:sz w:val="24"/>
              <w:szCs w:val="24"/>
              <w:lang w:eastAsia="de-DE"/>
            </w:rPr>
          </w:pPr>
          <w:hyperlink w:anchor="_Toc177037317" w:history="1">
            <w:r w:rsidRPr="00901E22">
              <w:rPr>
                <w:rStyle w:val="Hyperlink"/>
                <w:rFonts w:ascii="Poppins" w:hAnsi="Poppins" w:cs="Poppins"/>
                <w:noProof/>
              </w:rPr>
              <w:t>5.4.1</w:t>
            </w:r>
            <w:r>
              <w:rPr>
                <w:rFonts w:eastAsiaTheme="minorEastAsia"/>
                <w:noProof/>
                <w:kern w:val="2"/>
                <w:sz w:val="24"/>
                <w:szCs w:val="24"/>
                <w:lang w:eastAsia="de-DE"/>
              </w:rPr>
              <w:tab/>
            </w:r>
            <w:r w:rsidRPr="00901E22">
              <w:rPr>
                <w:rStyle w:val="Hyperlink"/>
                <w:rFonts w:ascii="Poppins" w:hAnsi="Poppins" w:cs="Poppins"/>
                <w:noProof/>
              </w:rPr>
              <w:t>Fachwissenschaftliche Fundierung</w:t>
            </w:r>
            <w:r>
              <w:rPr>
                <w:noProof/>
                <w:webHidden/>
              </w:rPr>
              <w:tab/>
            </w:r>
            <w:r>
              <w:rPr>
                <w:noProof/>
                <w:webHidden/>
              </w:rPr>
              <w:fldChar w:fldCharType="begin"/>
            </w:r>
            <w:r>
              <w:rPr>
                <w:noProof/>
                <w:webHidden/>
              </w:rPr>
              <w:instrText xml:space="preserve"> PAGEREF _Toc177037317 \h </w:instrText>
            </w:r>
            <w:r>
              <w:rPr>
                <w:noProof/>
                <w:webHidden/>
              </w:rPr>
            </w:r>
            <w:r>
              <w:rPr>
                <w:noProof/>
                <w:webHidden/>
              </w:rPr>
              <w:fldChar w:fldCharType="separate"/>
            </w:r>
            <w:r w:rsidR="003C70D6">
              <w:rPr>
                <w:noProof/>
                <w:webHidden/>
              </w:rPr>
              <w:t>37</w:t>
            </w:r>
            <w:r>
              <w:rPr>
                <w:noProof/>
                <w:webHidden/>
              </w:rPr>
              <w:fldChar w:fldCharType="end"/>
            </w:r>
          </w:hyperlink>
        </w:p>
        <w:p w14:paraId="5A4A62AE" w14:textId="1828D4AC" w:rsidR="006416ED" w:rsidRDefault="006416ED">
          <w:pPr>
            <w:pStyle w:val="Verzeichnis3"/>
            <w:tabs>
              <w:tab w:val="left" w:pos="1417"/>
              <w:tab w:val="right" w:leader="dot" w:pos="8890"/>
            </w:tabs>
            <w:rPr>
              <w:rFonts w:eastAsiaTheme="minorEastAsia"/>
              <w:noProof/>
              <w:kern w:val="2"/>
              <w:sz w:val="24"/>
              <w:szCs w:val="24"/>
              <w:lang w:eastAsia="de-DE"/>
            </w:rPr>
          </w:pPr>
          <w:hyperlink w:anchor="_Toc177037318" w:history="1">
            <w:r w:rsidRPr="00901E22">
              <w:rPr>
                <w:rStyle w:val="Hyperlink"/>
                <w:rFonts w:ascii="Poppins" w:hAnsi="Poppins" w:cs="Poppins"/>
                <w:noProof/>
              </w:rPr>
              <w:t>5.4.2</w:t>
            </w:r>
            <w:r>
              <w:rPr>
                <w:rFonts w:eastAsiaTheme="minorEastAsia"/>
                <w:noProof/>
                <w:kern w:val="2"/>
                <w:sz w:val="24"/>
                <w:szCs w:val="24"/>
                <w:lang w:eastAsia="de-DE"/>
              </w:rPr>
              <w:tab/>
            </w:r>
            <w:r w:rsidRPr="00901E22">
              <w:rPr>
                <w:rStyle w:val="Hyperlink"/>
                <w:rFonts w:ascii="Poppins" w:hAnsi="Poppins" w:cs="Poppins"/>
                <w:noProof/>
              </w:rPr>
              <w:t>CC-Lizenz</w:t>
            </w:r>
            <w:r>
              <w:rPr>
                <w:noProof/>
                <w:webHidden/>
              </w:rPr>
              <w:tab/>
            </w:r>
            <w:r>
              <w:rPr>
                <w:noProof/>
                <w:webHidden/>
              </w:rPr>
              <w:fldChar w:fldCharType="begin"/>
            </w:r>
            <w:r>
              <w:rPr>
                <w:noProof/>
                <w:webHidden/>
              </w:rPr>
              <w:instrText xml:space="preserve"> PAGEREF _Toc177037318 \h </w:instrText>
            </w:r>
            <w:r>
              <w:rPr>
                <w:noProof/>
                <w:webHidden/>
              </w:rPr>
            </w:r>
            <w:r>
              <w:rPr>
                <w:noProof/>
                <w:webHidden/>
              </w:rPr>
              <w:fldChar w:fldCharType="separate"/>
            </w:r>
            <w:r w:rsidR="003C70D6">
              <w:rPr>
                <w:noProof/>
                <w:webHidden/>
              </w:rPr>
              <w:t>39</w:t>
            </w:r>
            <w:r>
              <w:rPr>
                <w:noProof/>
                <w:webHidden/>
              </w:rPr>
              <w:fldChar w:fldCharType="end"/>
            </w:r>
          </w:hyperlink>
        </w:p>
        <w:p w14:paraId="72B8938F" w14:textId="79FB7246" w:rsidR="006416ED" w:rsidRDefault="006416ED">
          <w:pPr>
            <w:pStyle w:val="Verzeichnis3"/>
            <w:tabs>
              <w:tab w:val="left" w:pos="1417"/>
              <w:tab w:val="right" w:leader="dot" w:pos="8890"/>
            </w:tabs>
            <w:rPr>
              <w:rFonts w:eastAsiaTheme="minorEastAsia"/>
              <w:noProof/>
              <w:kern w:val="2"/>
              <w:sz w:val="24"/>
              <w:szCs w:val="24"/>
              <w:lang w:eastAsia="de-DE"/>
            </w:rPr>
          </w:pPr>
          <w:hyperlink w:anchor="_Toc177037319" w:history="1">
            <w:r w:rsidRPr="00901E22">
              <w:rPr>
                <w:rStyle w:val="Hyperlink"/>
                <w:rFonts w:ascii="Poppins" w:hAnsi="Poppins" w:cs="Poppins"/>
                <w:noProof/>
              </w:rPr>
              <w:t>5.4.3</w:t>
            </w:r>
            <w:r>
              <w:rPr>
                <w:rFonts w:eastAsiaTheme="minorEastAsia"/>
                <w:noProof/>
                <w:kern w:val="2"/>
                <w:sz w:val="24"/>
                <w:szCs w:val="24"/>
                <w:lang w:eastAsia="de-DE"/>
              </w:rPr>
              <w:tab/>
            </w:r>
            <w:r w:rsidRPr="00901E22">
              <w:rPr>
                <w:rStyle w:val="Hyperlink"/>
                <w:rFonts w:ascii="Poppins" w:hAnsi="Poppins" w:cs="Poppins"/>
                <w:noProof/>
              </w:rPr>
              <w:t>Alignment</w:t>
            </w:r>
            <w:r>
              <w:rPr>
                <w:noProof/>
                <w:webHidden/>
              </w:rPr>
              <w:tab/>
            </w:r>
            <w:r>
              <w:rPr>
                <w:noProof/>
                <w:webHidden/>
              </w:rPr>
              <w:fldChar w:fldCharType="begin"/>
            </w:r>
            <w:r>
              <w:rPr>
                <w:noProof/>
                <w:webHidden/>
              </w:rPr>
              <w:instrText xml:space="preserve"> PAGEREF _Toc177037319 \h </w:instrText>
            </w:r>
            <w:r>
              <w:rPr>
                <w:noProof/>
                <w:webHidden/>
              </w:rPr>
            </w:r>
            <w:r>
              <w:rPr>
                <w:noProof/>
                <w:webHidden/>
              </w:rPr>
              <w:fldChar w:fldCharType="separate"/>
            </w:r>
            <w:r w:rsidR="003C70D6">
              <w:rPr>
                <w:noProof/>
                <w:webHidden/>
              </w:rPr>
              <w:t>40</w:t>
            </w:r>
            <w:r>
              <w:rPr>
                <w:noProof/>
                <w:webHidden/>
              </w:rPr>
              <w:fldChar w:fldCharType="end"/>
            </w:r>
          </w:hyperlink>
        </w:p>
        <w:p w14:paraId="2E01D9CC" w14:textId="64AA1C6D" w:rsidR="006416ED" w:rsidRDefault="006416ED">
          <w:pPr>
            <w:pStyle w:val="Verzeichnis3"/>
            <w:tabs>
              <w:tab w:val="left" w:pos="1417"/>
              <w:tab w:val="right" w:leader="dot" w:pos="8890"/>
            </w:tabs>
            <w:rPr>
              <w:rFonts w:eastAsiaTheme="minorEastAsia"/>
              <w:noProof/>
              <w:kern w:val="2"/>
              <w:sz w:val="24"/>
              <w:szCs w:val="24"/>
              <w:lang w:eastAsia="de-DE"/>
            </w:rPr>
          </w:pPr>
          <w:hyperlink w:anchor="_Toc177037320" w:history="1">
            <w:r w:rsidRPr="00901E22">
              <w:rPr>
                <w:rStyle w:val="Hyperlink"/>
                <w:rFonts w:ascii="Poppins" w:hAnsi="Poppins" w:cs="Poppins"/>
                <w:noProof/>
              </w:rPr>
              <w:t>5.4.4</w:t>
            </w:r>
            <w:r>
              <w:rPr>
                <w:rFonts w:eastAsiaTheme="minorEastAsia"/>
                <w:noProof/>
                <w:kern w:val="2"/>
                <w:sz w:val="24"/>
                <w:szCs w:val="24"/>
                <w:lang w:eastAsia="de-DE"/>
              </w:rPr>
              <w:tab/>
            </w:r>
            <w:r w:rsidRPr="00901E22">
              <w:rPr>
                <w:rStyle w:val="Hyperlink"/>
                <w:rFonts w:ascii="Poppins" w:hAnsi="Poppins" w:cs="Poppins"/>
                <w:noProof/>
              </w:rPr>
              <w:t>Inhaltliche Wiederverwendbarkeit</w:t>
            </w:r>
            <w:r>
              <w:rPr>
                <w:noProof/>
                <w:webHidden/>
              </w:rPr>
              <w:tab/>
            </w:r>
            <w:r>
              <w:rPr>
                <w:noProof/>
                <w:webHidden/>
              </w:rPr>
              <w:fldChar w:fldCharType="begin"/>
            </w:r>
            <w:r>
              <w:rPr>
                <w:noProof/>
                <w:webHidden/>
              </w:rPr>
              <w:instrText xml:space="preserve"> PAGEREF _Toc177037320 \h </w:instrText>
            </w:r>
            <w:r>
              <w:rPr>
                <w:noProof/>
                <w:webHidden/>
              </w:rPr>
            </w:r>
            <w:r>
              <w:rPr>
                <w:noProof/>
                <w:webHidden/>
              </w:rPr>
              <w:fldChar w:fldCharType="separate"/>
            </w:r>
            <w:r w:rsidR="003C70D6">
              <w:rPr>
                <w:noProof/>
                <w:webHidden/>
              </w:rPr>
              <w:t>42</w:t>
            </w:r>
            <w:r>
              <w:rPr>
                <w:noProof/>
                <w:webHidden/>
              </w:rPr>
              <w:fldChar w:fldCharType="end"/>
            </w:r>
          </w:hyperlink>
        </w:p>
        <w:p w14:paraId="180D42E6" w14:textId="527F94B9" w:rsidR="006416ED" w:rsidRDefault="006416ED">
          <w:pPr>
            <w:pStyle w:val="Verzeichnis2"/>
            <w:tabs>
              <w:tab w:val="left" w:pos="850"/>
              <w:tab w:val="right" w:leader="dot" w:pos="8890"/>
            </w:tabs>
            <w:rPr>
              <w:rFonts w:eastAsiaTheme="minorEastAsia"/>
              <w:noProof/>
              <w:kern w:val="2"/>
              <w:sz w:val="24"/>
              <w:szCs w:val="24"/>
              <w:lang w:eastAsia="de-DE"/>
            </w:rPr>
          </w:pPr>
          <w:hyperlink w:anchor="_Toc177037321" w:history="1">
            <w:r w:rsidRPr="00901E22">
              <w:rPr>
                <w:rStyle w:val="Hyperlink"/>
                <w:rFonts w:ascii="Poppins" w:hAnsi="Poppins" w:cs="Poppins"/>
                <w:noProof/>
              </w:rPr>
              <w:t>5.5</w:t>
            </w:r>
            <w:r>
              <w:rPr>
                <w:rFonts w:eastAsiaTheme="minorEastAsia"/>
                <w:noProof/>
                <w:kern w:val="2"/>
                <w:sz w:val="24"/>
                <w:szCs w:val="24"/>
                <w:lang w:eastAsia="de-DE"/>
              </w:rPr>
              <w:tab/>
            </w:r>
            <w:r w:rsidRPr="00901E22">
              <w:rPr>
                <w:rStyle w:val="Hyperlink"/>
                <w:rFonts w:ascii="Poppins" w:hAnsi="Poppins" w:cs="Poppins"/>
                <w:noProof/>
              </w:rPr>
              <w:t>Konzeptionierung des Qualitätsmanagementsystems der HOOU</w:t>
            </w:r>
            <w:r>
              <w:rPr>
                <w:noProof/>
                <w:webHidden/>
              </w:rPr>
              <w:tab/>
            </w:r>
            <w:r>
              <w:rPr>
                <w:noProof/>
                <w:webHidden/>
              </w:rPr>
              <w:fldChar w:fldCharType="begin"/>
            </w:r>
            <w:r>
              <w:rPr>
                <w:noProof/>
                <w:webHidden/>
              </w:rPr>
              <w:instrText xml:space="preserve"> PAGEREF _Toc177037321 \h </w:instrText>
            </w:r>
            <w:r>
              <w:rPr>
                <w:noProof/>
                <w:webHidden/>
              </w:rPr>
            </w:r>
            <w:r>
              <w:rPr>
                <w:noProof/>
                <w:webHidden/>
              </w:rPr>
              <w:fldChar w:fldCharType="separate"/>
            </w:r>
            <w:r w:rsidR="003C70D6">
              <w:rPr>
                <w:noProof/>
                <w:webHidden/>
              </w:rPr>
              <w:t>44</w:t>
            </w:r>
            <w:r>
              <w:rPr>
                <w:noProof/>
                <w:webHidden/>
              </w:rPr>
              <w:fldChar w:fldCharType="end"/>
            </w:r>
          </w:hyperlink>
        </w:p>
        <w:p w14:paraId="4FCC3896" w14:textId="6299E72F" w:rsidR="006416ED" w:rsidRDefault="006416ED">
          <w:pPr>
            <w:pStyle w:val="Verzeichnis1"/>
            <w:tabs>
              <w:tab w:val="left" w:pos="440"/>
              <w:tab w:val="right" w:leader="dot" w:pos="8890"/>
            </w:tabs>
            <w:rPr>
              <w:rFonts w:eastAsiaTheme="minorEastAsia"/>
              <w:noProof/>
              <w:kern w:val="2"/>
              <w:sz w:val="24"/>
              <w:szCs w:val="24"/>
              <w:lang w:eastAsia="de-DE"/>
            </w:rPr>
          </w:pPr>
          <w:hyperlink w:anchor="_Toc177037322" w:history="1">
            <w:r w:rsidRPr="00901E22">
              <w:rPr>
                <w:rStyle w:val="Hyperlink"/>
                <w:rFonts w:ascii="Poppins" w:hAnsi="Poppins" w:cs="Poppins"/>
                <w:noProof/>
              </w:rPr>
              <w:t>6</w:t>
            </w:r>
            <w:r>
              <w:rPr>
                <w:rFonts w:eastAsiaTheme="minorEastAsia"/>
                <w:noProof/>
                <w:kern w:val="2"/>
                <w:sz w:val="24"/>
                <w:szCs w:val="24"/>
                <w:lang w:eastAsia="de-DE"/>
              </w:rPr>
              <w:tab/>
            </w:r>
            <w:r w:rsidRPr="00901E22">
              <w:rPr>
                <w:rStyle w:val="Hyperlink"/>
                <w:rFonts w:ascii="Poppins" w:hAnsi="Poppins" w:cs="Poppins"/>
                <w:noProof/>
              </w:rPr>
              <w:t>Literatur</w:t>
            </w:r>
            <w:r>
              <w:rPr>
                <w:noProof/>
                <w:webHidden/>
              </w:rPr>
              <w:tab/>
            </w:r>
            <w:r>
              <w:rPr>
                <w:noProof/>
                <w:webHidden/>
              </w:rPr>
              <w:fldChar w:fldCharType="begin"/>
            </w:r>
            <w:r>
              <w:rPr>
                <w:noProof/>
                <w:webHidden/>
              </w:rPr>
              <w:instrText xml:space="preserve"> PAGEREF _Toc177037322 \h </w:instrText>
            </w:r>
            <w:r>
              <w:rPr>
                <w:noProof/>
                <w:webHidden/>
              </w:rPr>
            </w:r>
            <w:r>
              <w:rPr>
                <w:noProof/>
                <w:webHidden/>
              </w:rPr>
              <w:fldChar w:fldCharType="separate"/>
            </w:r>
            <w:r w:rsidR="003C70D6">
              <w:rPr>
                <w:noProof/>
                <w:webHidden/>
              </w:rPr>
              <w:t>49</w:t>
            </w:r>
            <w:r>
              <w:rPr>
                <w:noProof/>
                <w:webHidden/>
              </w:rPr>
              <w:fldChar w:fldCharType="end"/>
            </w:r>
          </w:hyperlink>
        </w:p>
        <w:p w14:paraId="65AEA2D3" w14:textId="68A3B3D2" w:rsidR="0040385C" w:rsidRPr="00D1021A" w:rsidRDefault="00046E90" w:rsidP="009B614E">
          <w:pPr>
            <w:pStyle w:val="Verzeichnis2"/>
            <w:tabs>
              <w:tab w:val="left" w:pos="660"/>
              <w:tab w:val="right" w:leader="dot" w:pos="9060"/>
            </w:tabs>
            <w:rPr>
              <w:rFonts w:ascii="Poppins" w:hAnsi="Poppins" w:cs="Poppins"/>
            </w:rPr>
          </w:pPr>
          <w:r w:rsidRPr="00D1021A">
            <w:rPr>
              <w:rFonts w:ascii="Poppins" w:hAnsi="Poppins" w:cs="Poppins"/>
            </w:rPr>
            <w:fldChar w:fldCharType="end"/>
          </w:r>
        </w:p>
      </w:sdtContent>
    </w:sdt>
    <w:p w14:paraId="77A95C3B" w14:textId="77777777" w:rsidR="0040385C" w:rsidRPr="00D1021A" w:rsidRDefault="0040385C" w:rsidP="00E55947">
      <w:pPr>
        <w:pStyle w:val="Flietext"/>
        <w:jc w:val="left"/>
        <w:rPr>
          <w:rFonts w:ascii="Poppins" w:hAnsi="Poppins" w:cs="Poppins"/>
        </w:rPr>
      </w:pPr>
    </w:p>
    <w:p w14:paraId="37442CA2" w14:textId="0D57D2AA" w:rsidR="0040385C" w:rsidRPr="00D1021A" w:rsidRDefault="00046E90" w:rsidP="00E55947">
      <w:pPr>
        <w:pStyle w:val="Flietext"/>
        <w:jc w:val="left"/>
        <w:rPr>
          <w:rFonts w:ascii="Poppins" w:hAnsi="Poppins" w:cs="Poppins"/>
        </w:rPr>
      </w:pPr>
      <w:r w:rsidRPr="00D1021A">
        <w:rPr>
          <w:rFonts w:ascii="Poppins" w:hAnsi="Poppins" w:cs="Poppins"/>
        </w:rPr>
        <w:t>Barrierefreiheit: Dieses Dokument ist so aufgebaut, dass es dem Qualitätskriterium für O</w:t>
      </w:r>
      <w:r w:rsidR="00035A9D" w:rsidRPr="00D1021A">
        <w:rPr>
          <w:rFonts w:ascii="Poppins" w:hAnsi="Poppins" w:cs="Poppins"/>
        </w:rPr>
        <w:t>ER</w:t>
      </w:r>
      <w:r w:rsidRPr="00D1021A">
        <w:rPr>
          <w:rFonts w:ascii="Poppins" w:hAnsi="Poppins" w:cs="Poppins"/>
        </w:rPr>
        <w:t xml:space="preserve"> „Zugänglichkeit für Menschen mit Beeinträchtigung“ entspricht. Barrierefreiheit herzustellen ist für die HOOU aus zwei Perspektiven relevant. Zum einen sind öffentliche Digitalangebote der Freien und Hansestadt Hamburg rechtlich verpflichtet, Barrierefreiheit </w:t>
      </w:r>
      <w:r w:rsidR="006227BA" w:rsidRPr="00D1021A">
        <w:rPr>
          <w:rFonts w:ascii="Poppins" w:hAnsi="Poppins" w:cs="Poppins"/>
        </w:rPr>
        <w:t xml:space="preserve">bestmöglich </w:t>
      </w:r>
      <w:r w:rsidRPr="00D1021A">
        <w:rPr>
          <w:rFonts w:ascii="Poppins" w:hAnsi="Poppins" w:cs="Poppins"/>
        </w:rPr>
        <w:t xml:space="preserve">zu </w:t>
      </w:r>
      <w:r w:rsidR="006227BA" w:rsidRPr="00D1021A">
        <w:rPr>
          <w:rFonts w:ascii="Poppins" w:hAnsi="Poppins" w:cs="Poppins"/>
        </w:rPr>
        <w:t>gewähren</w:t>
      </w:r>
      <w:r w:rsidRPr="00D1021A">
        <w:rPr>
          <w:rFonts w:ascii="Poppins" w:hAnsi="Poppins" w:cs="Poppins"/>
        </w:rPr>
        <w:t xml:space="preserve">, zum anderen ist Barrierefreiheit ein wichtiges Element im Sinne der Qualität </w:t>
      </w:r>
      <w:r w:rsidR="006227BA" w:rsidRPr="00D1021A">
        <w:rPr>
          <w:rFonts w:ascii="Poppins" w:hAnsi="Poppins" w:cs="Poppins"/>
        </w:rPr>
        <w:t>o</w:t>
      </w:r>
      <w:r w:rsidRPr="00D1021A">
        <w:rPr>
          <w:rFonts w:ascii="Poppins" w:hAnsi="Poppins" w:cs="Poppins"/>
        </w:rPr>
        <w:t>ffener Bildung. Die Bildungsangebote werden so für möglichst viele Menschen nutzbar.</w:t>
      </w:r>
    </w:p>
    <w:p w14:paraId="0789026D" w14:textId="77777777" w:rsidR="0040385C" w:rsidRPr="00D1021A" w:rsidRDefault="00046E90" w:rsidP="009B614E">
      <w:pPr>
        <w:rPr>
          <w:rFonts w:ascii="Poppins" w:hAnsi="Poppins" w:cs="Poppins"/>
          <w:sz w:val="24"/>
        </w:rPr>
      </w:pPr>
      <w:r w:rsidRPr="00D1021A">
        <w:rPr>
          <w:rFonts w:ascii="Poppins" w:hAnsi="Poppins" w:cs="Poppins"/>
        </w:rPr>
        <w:br w:type="page" w:clear="all"/>
      </w:r>
    </w:p>
    <w:p w14:paraId="2E2EB789" w14:textId="77777777" w:rsidR="0040385C" w:rsidRPr="006416ED" w:rsidRDefault="00046E90" w:rsidP="009B614E">
      <w:pPr>
        <w:pStyle w:val="berschrift1"/>
        <w:rPr>
          <w:rFonts w:ascii="Poppins" w:hAnsi="Poppins" w:cs="Poppins"/>
          <w:lang w:val="en-US"/>
        </w:rPr>
      </w:pPr>
      <w:bookmarkStart w:id="1" w:name="_Toc177037283"/>
      <w:r w:rsidRPr="006416ED">
        <w:rPr>
          <w:rFonts w:ascii="Poppins" w:hAnsi="Poppins" w:cs="Poppins"/>
          <w:lang w:val="en-US"/>
        </w:rPr>
        <w:lastRenderedPageBreak/>
        <w:t>Hamburg Open Online University (HOOU)</w:t>
      </w:r>
      <w:bookmarkEnd w:id="1"/>
    </w:p>
    <w:p w14:paraId="5143D57D" w14:textId="77777777" w:rsidR="0040385C" w:rsidRPr="00D1021A" w:rsidRDefault="00046E90" w:rsidP="00E55947">
      <w:pPr>
        <w:pStyle w:val="Flietext"/>
        <w:jc w:val="left"/>
        <w:rPr>
          <w:rFonts w:ascii="Poppins" w:hAnsi="Poppins" w:cs="Poppins"/>
        </w:rPr>
      </w:pPr>
      <w:r w:rsidRPr="00D1021A">
        <w:rPr>
          <w:rFonts w:ascii="Poppins" w:hAnsi="Poppins" w:cs="Poppins"/>
        </w:rPr>
        <w:t>Die Hamburg Open Online University (HOOU) ist eine 2015 gegründete Verbundeinrichtung der Freien und Hansestadt Hamburg, die seit Anfang 2020 als Gesellschaft, HOOU GmbH, organisiert ist.</w:t>
      </w:r>
    </w:p>
    <w:p w14:paraId="32620AA1" w14:textId="77777777" w:rsidR="0040385C" w:rsidRPr="00D1021A" w:rsidRDefault="00046E90" w:rsidP="009B614E">
      <w:pPr>
        <w:pStyle w:val="berschrift2"/>
        <w:rPr>
          <w:rFonts w:ascii="Poppins" w:hAnsi="Poppins" w:cs="Poppins"/>
        </w:rPr>
      </w:pPr>
      <w:bookmarkStart w:id="2" w:name="_Toc177037284"/>
      <w:r w:rsidRPr="00D1021A">
        <w:rPr>
          <w:rFonts w:ascii="Poppins" w:hAnsi="Poppins" w:cs="Poppins"/>
        </w:rPr>
        <w:t>Struktur der HOOU</w:t>
      </w:r>
      <w:bookmarkEnd w:id="2"/>
    </w:p>
    <w:p w14:paraId="1F49CD30" w14:textId="605C4022" w:rsidR="0040385C" w:rsidRPr="00D1021A" w:rsidRDefault="00046E90" w:rsidP="00E55947">
      <w:pPr>
        <w:pStyle w:val="Flietext"/>
        <w:jc w:val="left"/>
        <w:rPr>
          <w:rFonts w:ascii="Poppins" w:hAnsi="Poppins" w:cs="Poppins"/>
        </w:rPr>
      </w:pPr>
      <w:r w:rsidRPr="00D1021A">
        <w:rPr>
          <w:rFonts w:ascii="Poppins" w:hAnsi="Poppins" w:cs="Poppins"/>
        </w:rPr>
        <w:t xml:space="preserve">Die HOOU besteht aus fünf staatlichen Hamburger Hochschulen und </w:t>
      </w:r>
      <w:r w:rsidR="00CE0496">
        <w:rPr>
          <w:rFonts w:ascii="Poppins" w:hAnsi="Poppins" w:cs="Poppins"/>
        </w:rPr>
        <w:t xml:space="preserve">drei weiteren </w:t>
      </w:r>
      <w:r w:rsidRPr="00D1021A">
        <w:rPr>
          <w:rFonts w:ascii="Poppins" w:hAnsi="Poppins" w:cs="Poppins"/>
        </w:rPr>
        <w:t>Institutionen: der Hochschule für Angewandte Wissenschaften Hamburg (HAW), der Technischen Universität Hamburg (TUHH), der HafenCity Universität (HCU), der Hochschule für bildende Künste Hamburg (HFB</w:t>
      </w:r>
      <w:r w:rsidR="006227BA" w:rsidRPr="00D1021A">
        <w:rPr>
          <w:rFonts w:ascii="Poppins" w:hAnsi="Poppins" w:cs="Poppins"/>
        </w:rPr>
        <w:t>K</w:t>
      </w:r>
      <w:r w:rsidRPr="00D1021A">
        <w:rPr>
          <w:rFonts w:ascii="Poppins" w:hAnsi="Poppins" w:cs="Poppins"/>
        </w:rPr>
        <w:t>), der Hochschule für Musik und Theater Hamburg (</w:t>
      </w:r>
      <w:proofErr w:type="spellStart"/>
      <w:r w:rsidRPr="00D1021A">
        <w:rPr>
          <w:rFonts w:ascii="Poppins" w:hAnsi="Poppins" w:cs="Poppins"/>
        </w:rPr>
        <w:t>HfMT</w:t>
      </w:r>
      <w:proofErr w:type="spellEnd"/>
      <w:r w:rsidRPr="00D1021A">
        <w:rPr>
          <w:rFonts w:ascii="Poppins" w:hAnsi="Poppins" w:cs="Poppins"/>
        </w:rPr>
        <w:t xml:space="preserve">) sowie dem Universitätsklinikum Hamburg-Eppendorf (UKE), dem Multimedia Kontor Hamburg (MMKH) und der Behörde für Wissenschaft, Forschung, Gleichstellung und Bezirke Hamburg (BWFGB). Diese haben sich zusammengeschlossen, um an der Erstellung von offenen Bildungsinhalten für die Gesellschaft zu arbeiten. Die Lernangebote werden auf der gemeinsamen HOOU-Plattform </w:t>
      </w:r>
      <w:r w:rsidRPr="008C2042">
        <w:rPr>
          <w:rFonts w:ascii="Poppins" w:hAnsi="Poppins" w:cs="Poppins"/>
          <w:szCs w:val="24"/>
        </w:rPr>
        <w:t>(</w:t>
      </w:r>
      <w:hyperlink r:id="rId13" w:history="1">
        <w:r w:rsidR="008C2042">
          <w:rPr>
            <w:rStyle w:val="Hyperlink"/>
            <w:rFonts w:ascii="Poppins" w:hAnsi="Poppins" w:cs="Poppins"/>
            <w:szCs w:val="24"/>
          </w:rPr>
          <w:t>www.hoou.de</w:t>
        </w:r>
      </w:hyperlink>
      <w:r w:rsidRPr="008C2042">
        <w:rPr>
          <w:rFonts w:ascii="Poppins" w:hAnsi="Poppins" w:cs="Poppins"/>
          <w:szCs w:val="24"/>
        </w:rPr>
        <w:t>)</w:t>
      </w:r>
      <w:r w:rsidR="00CE0496" w:rsidRPr="008C2042">
        <w:rPr>
          <w:rFonts w:ascii="Poppins" w:hAnsi="Poppins" w:cs="Poppins"/>
          <w:szCs w:val="24"/>
        </w:rPr>
        <w:t xml:space="preserve"> </w:t>
      </w:r>
      <w:r w:rsidR="00CE0496">
        <w:rPr>
          <w:rFonts w:ascii="Poppins" w:hAnsi="Poppins" w:cs="Poppins"/>
        </w:rPr>
        <w:t xml:space="preserve">als Open Educational Resources (OER) </w:t>
      </w:r>
      <w:r w:rsidRPr="00D1021A">
        <w:rPr>
          <w:rFonts w:ascii="Poppins" w:hAnsi="Poppins" w:cs="Poppins"/>
        </w:rPr>
        <w:t>bereitgestellt.</w:t>
      </w:r>
    </w:p>
    <w:p w14:paraId="6D516EB2" w14:textId="77777777" w:rsidR="0040385C" w:rsidRPr="00D1021A" w:rsidRDefault="00046E90" w:rsidP="009B614E">
      <w:pPr>
        <w:pStyle w:val="berschrift2"/>
        <w:rPr>
          <w:rFonts w:ascii="Poppins" w:hAnsi="Poppins" w:cs="Poppins"/>
        </w:rPr>
      </w:pPr>
      <w:bookmarkStart w:id="3" w:name="_Toc177037285"/>
      <w:r w:rsidRPr="00D1021A">
        <w:rPr>
          <w:rFonts w:ascii="Poppins" w:hAnsi="Poppins" w:cs="Poppins"/>
        </w:rPr>
        <w:t>Mission der HOOU</w:t>
      </w:r>
      <w:bookmarkEnd w:id="3"/>
    </w:p>
    <w:p w14:paraId="163D221E" w14:textId="77777777" w:rsidR="00565B17" w:rsidRPr="00D1021A" w:rsidRDefault="00046E90" w:rsidP="00E55947">
      <w:pPr>
        <w:pStyle w:val="Flietext"/>
        <w:jc w:val="left"/>
        <w:rPr>
          <w:rStyle w:val="Kommentarzeichen"/>
          <w:rFonts w:ascii="Poppins" w:eastAsiaTheme="majorEastAsia" w:hAnsi="Poppins" w:cs="Poppins"/>
          <w:b/>
          <w:i/>
          <w:iCs/>
        </w:rPr>
      </w:pPr>
      <w:r w:rsidRPr="00D1021A">
        <w:rPr>
          <w:rFonts w:ascii="Poppins" w:hAnsi="Poppins" w:cs="Poppins"/>
          <w:i/>
          <w:iCs/>
          <w:highlight w:val="white"/>
        </w:rPr>
        <w:t xml:space="preserve">Die HOOU steht für erstklassige, offene akademische Bildung mit einem hohen Qualitätsanspruch und setzt sich für eine demokratische, diverse und tolerante Welt ein. Wir sind überzeugt, dass Bildung dabei eine entscheidende Rolle spielt. Bei der HOOU öffnen wir Türen zu neuen </w:t>
      </w:r>
      <w:r w:rsidRPr="00D1021A">
        <w:rPr>
          <w:rFonts w:ascii="Poppins" w:hAnsi="Poppins" w:cs="Poppins"/>
          <w:i/>
          <w:iCs/>
          <w:highlight w:val="white"/>
        </w:rPr>
        <w:lastRenderedPageBreak/>
        <w:t>Erkenntnissen und machen Wissen erlebbar. Unsere Mission: akademische Bildung – immer und für alle!</w:t>
      </w:r>
      <w:r w:rsidR="00565B17" w:rsidRPr="00D1021A">
        <w:rPr>
          <w:rFonts w:ascii="Poppins" w:hAnsi="Poppins" w:cs="Poppins"/>
          <w:i/>
          <w:iCs/>
          <w:highlight w:val="white"/>
        </w:rPr>
        <w:t xml:space="preserve"> (hoou.de)</w:t>
      </w:r>
    </w:p>
    <w:p w14:paraId="5E3FB342" w14:textId="0E48B464" w:rsidR="0040385C" w:rsidRPr="00D1021A" w:rsidRDefault="00046E90" w:rsidP="00E55947">
      <w:pPr>
        <w:pStyle w:val="Flietext"/>
        <w:jc w:val="left"/>
        <w:rPr>
          <w:rFonts w:ascii="Poppins" w:hAnsi="Poppins" w:cs="Poppins"/>
        </w:rPr>
      </w:pPr>
      <w:r w:rsidRPr="00D1021A">
        <w:rPr>
          <w:rFonts w:ascii="Poppins" w:hAnsi="Poppins" w:cs="Poppins"/>
        </w:rPr>
        <w:t xml:space="preserve">Die HOOU sieht im Zugang zu hochwertiger und offener akademischer Bildung einen elementaren Baustein für eine freie, demokratische und diversitätssensible Gesellschaft. Der Anspruch ist, mit Innovationen in der digitalen Hochschullehre einen Beitrag für hochwertige Bildung zu leisten und aktive Mitgestalterin der digitalen Transformation und Zukunft zu sein. </w:t>
      </w:r>
      <w:r w:rsidR="00C47C7B" w:rsidRPr="00D1021A">
        <w:rPr>
          <w:rFonts w:ascii="Poppins" w:hAnsi="Poppins" w:cs="Poppins"/>
        </w:rPr>
        <w:t>Die Digitalisierung durchdrängt längst alle Lebensbereiche, neue Formen des Lehrens und Lernens, des Arbeitens und der Kommunikationen im Allgemeinen entstehen. Die HOOU greift diese Veränderungen nicht nur auf, sondern schafft Möglichkeiten</w:t>
      </w:r>
      <w:r w:rsidR="00713367" w:rsidRPr="00D1021A">
        <w:rPr>
          <w:rFonts w:ascii="Poppins" w:hAnsi="Poppins" w:cs="Poppins"/>
        </w:rPr>
        <w:t>,</w:t>
      </w:r>
      <w:r w:rsidR="00C47C7B" w:rsidRPr="00D1021A">
        <w:rPr>
          <w:rFonts w:ascii="Poppins" w:hAnsi="Poppins" w:cs="Poppins"/>
        </w:rPr>
        <w:t xml:space="preserve"> sich proaktiv mit ihnen auseinanderzusetzen und sieht sich gleichzeitig als Ort zur Erprobung und Förderung von Innovationen. Sie</w:t>
      </w:r>
      <w:r w:rsidRPr="00D1021A">
        <w:rPr>
          <w:rFonts w:ascii="Poppins" w:hAnsi="Poppins" w:cs="Poppins"/>
        </w:rPr>
        <w:t xml:space="preserve"> möchte eine Gesellschaft befördern, in der über den Zugang zu Wissen auch die Aneignung von Wissen eine gesellschaftliche Öffnung erfährt.</w:t>
      </w:r>
    </w:p>
    <w:p w14:paraId="4CCCCE55" w14:textId="5145A391" w:rsidR="0040385C" w:rsidRPr="00D1021A" w:rsidRDefault="00046E90" w:rsidP="00E55947">
      <w:pPr>
        <w:pStyle w:val="Flietext"/>
        <w:jc w:val="left"/>
        <w:rPr>
          <w:rFonts w:ascii="Poppins" w:hAnsi="Poppins" w:cs="Poppins"/>
        </w:rPr>
      </w:pPr>
      <w:r w:rsidRPr="00D1021A">
        <w:rPr>
          <w:rFonts w:ascii="Poppins" w:hAnsi="Poppins" w:cs="Poppins"/>
        </w:rPr>
        <w:t>Mit ihrer Bildungsplattform unterstützt die HOOU die Öffnung von Hochschulen und schafft einen Raum für Kollaboration und Kooperation. Die HOOU-Plattform als digitaler Raum wird dabei mit weiteren Lernräumen verknüpft. Neue Formen der Zusammenarbeit entstehen</w:t>
      </w:r>
      <w:r w:rsidR="00C47C7B" w:rsidRPr="00D1021A">
        <w:rPr>
          <w:rFonts w:ascii="Poppins" w:hAnsi="Poppins" w:cs="Poppins"/>
        </w:rPr>
        <w:t xml:space="preserve">, in </w:t>
      </w:r>
      <w:r w:rsidR="00E55947" w:rsidRPr="00D1021A">
        <w:rPr>
          <w:rFonts w:ascii="Poppins" w:hAnsi="Poppins" w:cs="Poppins"/>
        </w:rPr>
        <w:t>denen das</w:t>
      </w:r>
      <w:r w:rsidRPr="00D1021A">
        <w:rPr>
          <w:rFonts w:ascii="Poppins" w:hAnsi="Poppins" w:cs="Poppins"/>
        </w:rPr>
        <w:t xml:space="preserve"> Potenzial von OER voll ausgeschöpft w</w:t>
      </w:r>
      <w:r w:rsidR="00C47C7B" w:rsidRPr="00D1021A">
        <w:rPr>
          <w:rFonts w:ascii="Poppins" w:hAnsi="Poppins" w:cs="Poppins"/>
        </w:rPr>
        <w:t>ird.</w:t>
      </w:r>
    </w:p>
    <w:p w14:paraId="6814672C" w14:textId="31D6A51B" w:rsidR="0040385C" w:rsidRPr="00D1021A" w:rsidRDefault="00046E90" w:rsidP="00E55947">
      <w:pPr>
        <w:pStyle w:val="Flietext"/>
        <w:jc w:val="left"/>
        <w:rPr>
          <w:rFonts w:ascii="Poppins" w:hAnsi="Poppins" w:cs="Poppins"/>
        </w:rPr>
      </w:pPr>
      <w:r w:rsidRPr="00D1021A">
        <w:rPr>
          <w:rFonts w:ascii="Poppins" w:hAnsi="Poppins" w:cs="Poppins"/>
        </w:rPr>
        <w:t xml:space="preserve">Durch </w:t>
      </w:r>
      <w:r w:rsidRPr="001E7009">
        <w:rPr>
          <w:rFonts w:ascii="Poppins" w:hAnsi="Poppins" w:cs="Poppins"/>
        </w:rPr>
        <w:t>vielfältige Formate wird die Mitwirkung und Mitgestaltung der Zivilbevölkerung im Sinne von Open Educational Practice (OEP)</w:t>
      </w:r>
      <w:r w:rsidR="00565B17" w:rsidRPr="001E7009">
        <w:rPr>
          <w:rFonts w:ascii="Poppins" w:hAnsi="Poppins" w:cs="Poppins"/>
        </w:rPr>
        <w:t xml:space="preserve"> (siehe Kapitel 2.2.1 Offene Bildung, S. 1</w:t>
      </w:r>
      <w:r w:rsidR="00C96425" w:rsidRPr="001E7009">
        <w:rPr>
          <w:rFonts w:ascii="Poppins" w:hAnsi="Poppins" w:cs="Poppins"/>
        </w:rPr>
        <w:t>3</w:t>
      </w:r>
      <w:r w:rsidR="00565B17" w:rsidRPr="001E7009">
        <w:rPr>
          <w:rFonts w:ascii="Poppins" w:hAnsi="Poppins" w:cs="Poppins"/>
        </w:rPr>
        <w:t>)</w:t>
      </w:r>
      <w:r w:rsidRPr="001E7009">
        <w:rPr>
          <w:rFonts w:ascii="Poppins" w:hAnsi="Poppins" w:cs="Poppins"/>
        </w:rPr>
        <w:t xml:space="preserve"> gelebt</w:t>
      </w:r>
      <w:r w:rsidRPr="00D1021A">
        <w:rPr>
          <w:rFonts w:ascii="Poppins" w:hAnsi="Poppins" w:cs="Poppins"/>
        </w:rPr>
        <w:t xml:space="preserve">. Dabei kooperiert die HOOU mit </w:t>
      </w:r>
      <w:r w:rsidRPr="00D1021A">
        <w:rPr>
          <w:rFonts w:ascii="Poppins" w:hAnsi="Poppins" w:cs="Poppins"/>
        </w:rPr>
        <w:lastRenderedPageBreak/>
        <w:t>verschiedenen Bildungs</w:t>
      </w:r>
      <w:r w:rsidR="00713367" w:rsidRPr="00D1021A">
        <w:rPr>
          <w:rFonts w:ascii="Poppins" w:hAnsi="Poppins" w:cs="Poppins"/>
        </w:rPr>
        <w:t>- und Wissenschafts</w:t>
      </w:r>
      <w:r w:rsidRPr="00D1021A">
        <w:rPr>
          <w:rFonts w:ascii="Poppins" w:hAnsi="Poppins" w:cs="Poppins"/>
        </w:rPr>
        <w:t>einrichtungen und Institutionen der Stadt Hamburg und darüber hinaus und trägt so zu einem lebendigen Bildungsökosystem bei.</w:t>
      </w:r>
    </w:p>
    <w:p w14:paraId="71C6EA15" w14:textId="77777777" w:rsidR="0040385C" w:rsidRPr="00D1021A" w:rsidRDefault="00046E90" w:rsidP="009B614E">
      <w:pPr>
        <w:pStyle w:val="berschrift2"/>
        <w:rPr>
          <w:rFonts w:ascii="Poppins" w:hAnsi="Poppins" w:cs="Poppins"/>
        </w:rPr>
      </w:pPr>
      <w:bookmarkStart w:id="4" w:name="_Toc177037286"/>
      <w:r w:rsidRPr="00D1021A">
        <w:rPr>
          <w:rFonts w:ascii="Poppins" w:hAnsi="Poppins" w:cs="Poppins"/>
        </w:rPr>
        <w:t>Ziele der HOOU</w:t>
      </w:r>
      <w:bookmarkEnd w:id="4"/>
    </w:p>
    <w:p w14:paraId="770F256E" w14:textId="77777777" w:rsidR="0040385C" w:rsidRPr="00D1021A" w:rsidRDefault="00046E90" w:rsidP="00E55947">
      <w:pPr>
        <w:pStyle w:val="Flietext"/>
        <w:jc w:val="left"/>
        <w:rPr>
          <w:rFonts w:ascii="Poppins" w:hAnsi="Poppins" w:cs="Poppins"/>
          <w:bCs/>
          <w:i/>
        </w:rPr>
      </w:pPr>
      <w:r w:rsidRPr="00D1021A">
        <w:rPr>
          <w:rFonts w:ascii="Poppins" w:hAnsi="Poppins" w:cs="Poppins"/>
          <w:i/>
          <w:iCs/>
        </w:rPr>
        <w:t>Unser Antrieb: hochwertige und moderne Bildungsangebote – für jeden zugänglich. Dank offenem Lernangebot können Bildungssuchende eigenständig und gemeinsam lernen und so ihren individuellen Weg gehen. Unser Angebot spricht alle Menschen an, die sich fortbilden möchten. Für eine nachhaltige Wirkung in der Bildung teilen wir unsere Inhalte frei und mit offener Lizenz.</w:t>
      </w:r>
    </w:p>
    <w:p w14:paraId="1B1BEC44" w14:textId="683F3856" w:rsidR="0040385C" w:rsidRPr="00D1021A" w:rsidRDefault="00046E90" w:rsidP="00E55947">
      <w:pPr>
        <w:pStyle w:val="Flietext"/>
        <w:jc w:val="left"/>
        <w:rPr>
          <w:rFonts w:ascii="Poppins" w:hAnsi="Poppins" w:cs="Poppins"/>
        </w:rPr>
      </w:pPr>
      <w:r w:rsidRPr="00D1021A">
        <w:rPr>
          <w:rFonts w:ascii="Poppins" w:hAnsi="Poppins" w:cs="Poppins"/>
        </w:rPr>
        <w:t>Die Bildungsangebote der HOOU sind allen zugänglich, unabhängig von Herkunft, Bildungshintergrund und Lebensphase und leiste</w:t>
      </w:r>
      <w:r w:rsidR="00713367" w:rsidRPr="00D1021A">
        <w:rPr>
          <w:rFonts w:ascii="Poppins" w:hAnsi="Poppins" w:cs="Poppins"/>
        </w:rPr>
        <w:t>n</w:t>
      </w:r>
      <w:r w:rsidRPr="00D1021A">
        <w:rPr>
          <w:rFonts w:ascii="Poppins" w:hAnsi="Poppins" w:cs="Poppins"/>
        </w:rPr>
        <w:t xml:space="preserve"> so einen Beitrag zur Bildungsgerechtigkeit. Die HOOU sieht Lernende als Akteur</w:t>
      </w:r>
      <w:r w:rsidR="00E55947" w:rsidRPr="00D1021A">
        <w:rPr>
          <w:rFonts w:ascii="Poppins" w:hAnsi="Poppins" w:cs="Poppins"/>
        </w:rPr>
        <w:t>*</w:t>
      </w:r>
      <w:r w:rsidRPr="00D1021A">
        <w:rPr>
          <w:rFonts w:ascii="Poppins" w:hAnsi="Poppins" w:cs="Poppins"/>
        </w:rPr>
        <w:t>innen und Expert</w:t>
      </w:r>
      <w:r w:rsidR="00E55947" w:rsidRPr="00D1021A">
        <w:rPr>
          <w:rFonts w:ascii="Poppins" w:hAnsi="Poppins" w:cs="Poppins"/>
        </w:rPr>
        <w:t>*</w:t>
      </w:r>
      <w:r w:rsidRPr="00D1021A">
        <w:rPr>
          <w:rFonts w:ascii="Poppins" w:hAnsi="Poppins" w:cs="Poppins"/>
        </w:rPr>
        <w:t>innen des eigenen Lernens.</w:t>
      </w:r>
    </w:p>
    <w:p w14:paraId="1943B78F" w14:textId="77777777" w:rsidR="0040385C" w:rsidRPr="00D1021A" w:rsidRDefault="00046E90" w:rsidP="009B614E">
      <w:pPr>
        <w:pStyle w:val="berschrift2"/>
        <w:rPr>
          <w:rFonts w:ascii="Poppins" w:hAnsi="Poppins" w:cs="Poppins"/>
        </w:rPr>
      </w:pPr>
      <w:bookmarkStart w:id="5" w:name="_Toc177037287"/>
      <w:r w:rsidRPr="00D1021A">
        <w:rPr>
          <w:rFonts w:ascii="Poppins" w:hAnsi="Poppins" w:cs="Poppins"/>
        </w:rPr>
        <w:t>Werte der HOOU</w:t>
      </w:r>
      <w:bookmarkEnd w:id="5"/>
    </w:p>
    <w:p w14:paraId="55E5AE08" w14:textId="77777777" w:rsidR="0040385C" w:rsidRPr="00D1021A" w:rsidRDefault="00046E90" w:rsidP="00E55947">
      <w:pPr>
        <w:pStyle w:val="Flietext"/>
        <w:jc w:val="left"/>
        <w:rPr>
          <w:rFonts w:ascii="Poppins" w:hAnsi="Poppins" w:cs="Poppins"/>
          <w:i/>
          <w:iCs/>
        </w:rPr>
      </w:pPr>
      <w:r w:rsidRPr="00D1021A">
        <w:rPr>
          <w:rFonts w:ascii="Poppins" w:hAnsi="Poppins" w:cs="Poppins"/>
          <w:i/>
          <w:iCs/>
        </w:rPr>
        <w:t>Unsere Angebote sind so konzipiert, dass sie jedem offenstehen – unabhängig von Herkunft, Bildungshintergrund und Lebensphase. Wir sind überzeugt, dass Vielfalt unsere Stärke ist. Daher legen wir Wert auf eine Umgebung, in der alle Lernenden willkommen sind und sich wohlfühlen. Wir möchten mit unserem Angebot die Gemeinschaft und Demokratie stärken.</w:t>
      </w:r>
    </w:p>
    <w:p w14:paraId="675254E0" w14:textId="77777777" w:rsidR="0040385C" w:rsidRPr="00D1021A" w:rsidRDefault="00046E90" w:rsidP="009B614E">
      <w:pPr>
        <w:pStyle w:val="berschrift2"/>
        <w:rPr>
          <w:rFonts w:ascii="Poppins" w:hAnsi="Poppins" w:cs="Poppins"/>
        </w:rPr>
      </w:pPr>
      <w:bookmarkStart w:id="6" w:name="_Toc177037288"/>
      <w:r w:rsidRPr="00D1021A">
        <w:rPr>
          <w:rFonts w:ascii="Poppins" w:hAnsi="Poppins" w:cs="Poppins"/>
        </w:rPr>
        <w:lastRenderedPageBreak/>
        <w:t>Vier Leitideen der HOOU</w:t>
      </w:r>
      <w:bookmarkEnd w:id="6"/>
    </w:p>
    <w:p w14:paraId="5C8F0BC3" w14:textId="77777777" w:rsidR="0040385C" w:rsidRPr="00D1021A" w:rsidRDefault="00046E90" w:rsidP="00E55947">
      <w:pPr>
        <w:pStyle w:val="Flietext"/>
        <w:jc w:val="left"/>
        <w:rPr>
          <w:rFonts w:ascii="Poppins" w:hAnsi="Poppins" w:cs="Poppins"/>
        </w:rPr>
      </w:pPr>
      <w:r w:rsidRPr="00D1021A">
        <w:rPr>
          <w:rFonts w:ascii="Poppins" w:hAnsi="Poppins" w:cs="Poppins"/>
        </w:rPr>
        <w:t>Die HOOU richtet sich seit ihrer Gründung gemäß ihrer Mission, Zielen und Werten nach vier Leitideen aus.</w:t>
      </w:r>
    </w:p>
    <w:p w14:paraId="76C31160" w14:textId="77777777" w:rsidR="0040385C" w:rsidRPr="00D1021A" w:rsidRDefault="00046E90" w:rsidP="009B614E">
      <w:pPr>
        <w:pStyle w:val="berschrift3"/>
        <w:rPr>
          <w:rFonts w:ascii="Poppins" w:hAnsi="Poppins" w:cs="Poppins"/>
        </w:rPr>
      </w:pPr>
      <w:bookmarkStart w:id="7" w:name="_Toc177037289"/>
      <w:proofErr w:type="spellStart"/>
      <w:r w:rsidRPr="00D1021A">
        <w:rPr>
          <w:rFonts w:ascii="Poppins" w:hAnsi="Poppins" w:cs="Poppins"/>
        </w:rPr>
        <w:t>Lernendenorientierung</w:t>
      </w:r>
      <w:proofErr w:type="spellEnd"/>
      <w:r w:rsidRPr="00D1021A">
        <w:rPr>
          <w:rFonts w:ascii="Poppins" w:hAnsi="Poppins" w:cs="Poppins"/>
        </w:rPr>
        <w:t xml:space="preserve"> und Kollaboration</w:t>
      </w:r>
      <w:bookmarkEnd w:id="7"/>
    </w:p>
    <w:p w14:paraId="76C33D13" w14:textId="77777777" w:rsidR="0040385C" w:rsidRPr="00D1021A" w:rsidRDefault="00046E90" w:rsidP="00E55947">
      <w:pPr>
        <w:pStyle w:val="Flietext"/>
        <w:jc w:val="left"/>
        <w:rPr>
          <w:rFonts w:ascii="Poppins" w:hAnsi="Poppins" w:cs="Poppins"/>
        </w:rPr>
      </w:pPr>
      <w:r w:rsidRPr="00D1021A">
        <w:rPr>
          <w:rFonts w:ascii="Poppins" w:hAnsi="Poppins" w:cs="Poppins"/>
        </w:rPr>
        <w:t xml:space="preserve">Bei der Entwicklung von Lernszenarien und Materialien wird von den Lernenden ausgehend gedacht – was sind ihre Ziele und Kompetenzen, ihre unterschiedlichen Biografien und individuellen Lernwege? – insbesondere, wenn sich Lerngruppen aus unterschiedlichen Institutionen, Disziplinen oder aus der interessierten Öffentlichkeit zusammensetzen. In der Lernarchitektur wird die </w:t>
      </w:r>
      <w:proofErr w:type="spellStart"/>
      <w:r w:rsidRPr="00D1021A">
        <w:rPr>
          <w:rFonts w:ascii="Poppins" w:hAnsi="Poppins" w:cs="Poppins"/>
        </w:rPr>
        <w:t>Lernendenorientierung</w:t>
      </w:r>
      <w:proofErr w:type="spellEnd"/>
      <w:r w:rsidRPr="00D1021A">
        <w:rPr>
          <w:rFonts w:ascii="Poppins" w:hAnsi="Poppins" w:cs="Poppins"/>
        </w:rPr>
        <w:t xml:space="preserve"> so mitgedacht, dass durch intelligente Vorschlagsmechanismen auch selbstbestimmte, informelle und an spezifischen Problemstellungen und Themenfeldern orientierte Lernprozesse unterstützt werden können.</w:t>
      </w:r>
    </w:p>
    <w:p w14:paraId="3B0B02EE" w14:textId="77777777" w:rsidR="0040385C" w:rsidRPr="00D1021A" w:rsidRDefault="00046E90" w:rsidP="009B614E">
      <w:pPr>
        <w:pStyle w:val="berschrift3"/>
        <w:rPr>
          <w:rFonts w:ascii="Poppins" w:hAnsi="Poppins" w:cs="Poppins"/>
        </w:rPr>
      </w:pPr>
      <w:bookmarkStart w:id="8" w:name="_Toc177037290"/>
      <w:r w:rsidRPr="00D1021A">
        <w:rPr>
          <w:rFonts w:ascii="Poppins" w:hAnsi="Poppins" w:cs="Poppins"/>
        </w:rPr>
        <w:t>Wissenschaftlichkeit</w:t>
      </w:r>
      <w:bookmarkEnd w:id="8"/>
    </w:p>
    <w:p w14:paraId="181EA424" w14:textId="77777777" w:rsidR="0040385C" w:rsidRPr="00D1021A" w:rsidRDefault="00046E90" w:rsidP="00E55947">
      <w:pPr>
        <w:pStyle w:val="Flietext"/>
        <w:jc w:val="left"/>
        <w:rPr>
          <w:rFonts w:ascii="Poppins" w:hAnsi="Poppins" w:cs="Poppins"/>
        </w:rPr>
      </w:pPr>
      <w:r w:rsidRPr="00D1021A">
        <w:rPr>
          <w:rFonts w:ascii="Poppins" w:hAnsi="Poppins" w:cs="Poppins"/>
        </w:rPr>
        <w:t>Das Lernen im Kontext der HOOU orientiert sich an akademischem Lernen und fördert das Problemlösen, das gemeinsame Reflektieren und Gestalten und damit das wissenschaftliche Denken und Arbeiten. Die Lernmaterialien haben akademisches Niveau und entstammen dem wissenschaftlichen und künstlerischen Kontext oder sind wiederum Ergebnis und Produkt von individuellen oder gemeinsamen Lernprozessen.</w:t>
      </w:r>
    </w:p>
    <w:p w14:paraId="6A8BC534" w14:textId="77777777" w:rsidR="0040385C" w:rsidRPr="00D1021A" w:rsidRDefault="00046E90" w:rsidP="009B614E">
      <w:pPr>
        <w:pStyle w:val="berschrift3"/>
        <w:rPr>
          <w:rFonts w:ascii="Poppins" w:hAnsi="Poppins" w:cs="Poppins"/>
        </w:rPr>
      </w:pPr>
      <w:bookmarkStart w:id="9" w:name="_Toc177037291"/>
      <w:r w:rsidRPr="00D1021A">
        <w:rPr>
          <w:rFonts w:ascii="Poppins" w:hAnsi="Poppins" w:cs="Poppins"/>
        </w:rPr>
        <w:lastRenderedPageBreak/>
        <w:t>Öffnung für neue Zielgruppen und zivilgesellschaftliche Relevanz</w:t>
      </w:r>
      <w:bookmarkEnd w:id="9"/>
    </w:p>
    <w:p w14:paraId="27D39D16" w14:textId="562B5255" w:rsidR="0040385C" w:rsidRPr="00D1021A" w:rsidRDefault="00046E90" w:rsidP="00E55947">
      <w:pPr>
        <w:pStyle w:val="Flietext"/>
        <w:jc w:val="left"/>
        <w:rPr>
          <w:rFonts w:ascii="Poppins" w:hAnsi="Poppins" w:cs="Poppins"/>
        </w:rPr>
      </w:pPr>
      <w:r w:rsidRPr="00D1021A">
        <w:rPr>
          <w:rFonts w:ascii="Poppins" w:hAnsi="Poppins" w:cs="Poppins"/>
        </w:rPr>
        <w:t>Die HOOU wendet sich nicht nur an die Studierenden der beteiligten Hochschulen</w:t>
      </w:r>
      <w:r w:rsidR="008B71AB" w:rsidRPr="00D1021A">
        <w:rPr>
          <w:rFonts w:ascii="Poppins" w:hAnsi="Poppins" w:cs="Poppins"/>
        </w:rPr>
        <w:t>,</w:t>
      </w:r>
      <w:r w:rsidRPr="00D1021A">
        <w:rPr>
          <w:rFonts w:ascii="Poppins" w:hAnsi="Poppins" w:cs="Poppins"/>
        </w:rPr>
        <w:t xml:space="preserve"> sondern möchte ausdrücklich </w:t>
      </w:r>
      <w:proofErr w:type="gramStart"/>
      <w:r w:rsidRPr="00D1021A">
        <w:rPr>
          <w:rFonts w:ascii="Poppins" w:hAnsi="Poppins" w:cs="Poppins"/>
        </w:rPr>
        <w:t>über diese hinaus neue Zielgruppen</w:t>
      </w:r>
      <w:proofErr w:type="gramEnd"/>
      <w:r w:rsidRPr="00D1021A">
        <w:rPr>
          <w:rFonts w:ascii="Poppins" w:hAnsi="Poppins" w:cs="Poppins"/>
        </w:rPr>
        <w:t xml:space="preserve"> einladen, die an einer gemeinsamen Auseinandersetzung mit akademischen Inhalten interessiert sind. Für die Bearbeitung und Lösung von zivilgesellschaftlich relevanten Fragestellungen werden durch eine Vielzahl von Perspektiven ein besonderer Wert und eine höhere Qualität </w:t>
      </w:r>
      <w:r w:rsidR="00A424B2" w:rsidRPr="00D1021A">
        <w:rPr>
          <w:rFonts w:ascii="Poppins" w:hAnsi="Poppins" w:cs="Poppins"/>
        </w:rPr>
        <w:t xml:space="preserve">der Lehr-/Lernangebote </w:t>
      </w:r>
      <w:r w:rsidRPr="00D1021A">
        <w:rPr>
          <w:rFonts w:ascii="Poppins" w:hAnsi="Poppins" w:cs="Poppins"/>
        </w:rPr>
        <w:t>erwartet.</w:t>
      </w:r>
    </w:p>
    <w:p w14:paraId="7552F8AF" w14:textId="193445F0" w:rsidR="0040385C" w:rsidRPr="00D1021A" w:rsidRDefault="006F0B1A" w:rsidP="009B614E">
      <w:pPr>
        <w:pStyle w:val="berschrift3"/>
        <w:rPr>
          <w:rFonts w:ascii="Poppins" w:hAnsi="Poppins" w:cs="Poppins"/>
        </w:rPr>
      </w:pPr>
      <w:bookmarkStart w:id="10" w:name="_Toc177037292"/>
      <w:r w:rsidRPr="006416ED">
        <w:rPr>
          <w:rFonts w:ascii="Poppins" w:hAnsi="Poppins" w:cs="Poppins"/>
          <w:lang w:val="en-US"/>
        </w:rPr>
        <w:t>Openness</w:t>
      </w:r>
      <w:r w:rsidR="00046E90" w:rsidRPr="00D1021A">
        <w:rPr>
          <w:rFonts w:ascii="Poppins" w:hAnsi="Poppins" w:cs="Poppins"/>
        </w:rPr>
        <w:t xml:space="preserve"> und OER</w:t>
      </w:r>
      <w:bookmarkEnd w:id="10"/>
    </w:p>
    <w:p w14:paraId="2DCD42B4" w14:textId="524F5221" w:rsidR="0040385C" w:rsidRPr="00D1021A" w:rsidRDefault="00046E90" w:rsidP="00E55947">
      <w:pPr>
        <w:spacing w:line="360" w:lineRule="auto"/>
        <w:rPr>
          <w:rFonts w:ascii="Poppins" w:hAnsi="Poppins" w:cs="Poppins"/>
          <w:sz w:val="24"/>
          <w:szCs w:val="24"/>
        </w:rPr>
      </w:pPr>
      <w:r w:rsidRPr="00D1021A">
        <w:rPr>
          <w:rFonts w:ascii="Poppins" w:hAnsi="Poppins" w:cs="Poppins"/>
          <w:sz w:val="24"/>
          <w:szCs w:val="24"/>
        </w:rPr>
        <w:t xml:space="preserve">Die HOOU orientiert sich an der Idee von Offener Bildung oder Open Education. Sie zielt darauf ab, dass Lernmaterialien als Offene Bildungsressourcen zur Verfügung stehen. Die Bildungsangebote werden </w:t>
      </w:r>
      <w:r w:rsidR="00CE0496">
        <w:rPr>
          <w:rFonts w:ascii="Poppins" w:hAnsi="Poppins" w:cs="Poppins"/>
          <w:sz w:val="24"/>
          <w:szCs w:val="24"/>
        </w:rPr>
        <w:t xml:space="preserve">als </w:t>
      </w:r>
      <w:r w:rsidRPr="00D1021A">
        <w:rPr>
          <w:rFonts w:ascii="Poppins" w:hAnsi="Poppins" w:cs="Poppins"/>
          <w:sz w:val="24"/>
          <w:szCs w:val="24"/>
        </w:rPr>
        <w:t>OER im Sinne der Definition der UNESCO (2019) bereitgestellt. Die Inhalte können ohne oder mit</w:t>
      </w:r>
      <w:r w:rsidR="00A424B2" w:rsidRPr="00D1021A">
        <w:rPr>
          <w:rFonts w:ascii="Poppins" w:hAnsi="Poppins" w:cs="Poppins"/>
          <w:sz w:val="24"/>
          <w:szCs w:val="24"/>
        </w:rPr>
        <w:t xml:space="preserve"> lediglich</w:t>
      </w:r>
      <w:r w:rsidRPr="00D1021A">
        <w:rPr>
          <w:rFonts w:ascii="Poppins" w:hAnsi="Poppins" w:cs="Poppins"/>
          <w:sz w:val="24"/>
          <w:szCs w:val="24"/>
        </w:rPr>
        <w:t xml:space="preserve"> geringen Einschränkungen </w:t>
      </w:r>
      <w:r w:rsidR="00A424B2" w:rsidRPr="00D1021A">
        <w:rPr>
          <w:rFonts w:ascii="Poppins" w:hAnsi="Poppins" w:cs="Poppins"/>
          <w:sz w:val="24"/>
          <w:szCs w:val="24"/>
        </w:rPr>
        <w:t xml:space="preserve">weiterverwendet </w:t>
      </w:r>
      <w:r w:rsidRPr="00D1021A">
        <w:rPr>
          <w:rFonts w:ascii="Poppins" w:hAnsi="Poppins" w:cs="Poppins"/>
          <w:sz w:val="24"/>
          <w:szCs w:val="24"/>
        </w:rPr>
        <w:t>und geteilt werden. Darüber hinaus verfolgt die HOOU eine technologische Offenheit durch Verwendung von Open-Source-Software, eine rechtliche Offenheit durch Nutzung von offenen Lizenzen (CC-Lizenzen</w:t>
      </w:r>
      <w:r w:rsidR="00A424B2" w:rsidRPr="00D1021A">
        <w:rPr>
          <w:rFonts w:ascii="Poppins" w:hAnsi="Poppins" w:cs="Poppins"/>
          <w:sz w:val="24"/>
          <w:szCs w:val="24"/>
        </w:rPr>
        <w:t xml:space="preserve"> und gängigen freien Software-Lizenzen wie MIT und GNU GPL</w:t>
      </w:r>
      <w:r w:rsidRPr="00D1021A">
        <w:rPr>
          <w:rFonts w:ascii="Poppins" w:hAnsi="Poppins" w:cs="Poppins"/>
          <w:sz w:val="24"/>
          <w:szCs w:val="24"/>
        </w:rPr>
        <w:t xml:space="preserve">), eine soziale Offenheit ebenso wie die Eröffnung von Handlungs- und Lernräumen in </w:t>
      </w:r>
      <w:r w:rsidR="00A424B2" w:rsidRPr="00D1021A">
        <w:rPr>
          <w:rFonts w:ascii="Poppins" w:hAnsi="Poppins" w:cs="Poppins"/>
          <w:sz w:val="24"/>
          <w:szCs w:val="24"/>
        </w:rPr>
        <w:t xml:space="preserve">einer </w:t>
      </w:r>
      <w:r w:rsidRPr="00D1021A">
        <w:rPr>
          <w:rFonts w:ascii="Poppins" w:hAnsi="Poppins" w:cs="Poppins"/>
          <w:sz w:val="24"/>
          <w:szCs w:val="24"/>
        </w:rPr>
        <w:t xml:space="preserve">didaktisch offenen Gestaltung der unterschiedlichen Lernszenarien. Offenheit drückt sich zudem im Zugang zu Materialien und Interaktionen im Sinne </w:t>
      </w:r>
      <w:r w:rsidR="00A424B2" w:rsidRPr="00D1021A">
        <w:rPr>
          <w:rFonts w:ascii="Poppins" w:hAnsi="Poppins" w:cs="Poppins"/>
          <w:sz w:val="24"/>
          <w:szCs w:val="24"/>
        </w:rPr>
        <w:t xml:space="preserve">eines </w:t>
      </w:r>
      <w:r w:rsidRPr="00D1021A">
        <w:rPr>
          <w:rFonts w:ascii="Poppins" w:hAnsi="Poppins" w:cs="Poppins"/>
          <w:sz w:val="24"/>
          <w:szCs w:val="24"/>
        </w:rPr>
        <w:t xml:space="preserve">möglichst </w:t>
      </w:r>
      <w:r w:rsidR="00A424B2" w:rsidRPr="00D1021A">
        <w:rPr>
          <w:rFonts w:ascii="Poppins" w:hAnsi="Poppins" w:cs="Poppins"/>
          <w:sz w:val="24"/>
          <w:szCs w:val="24"/>
        </w:rPr>
        <w:t xml:space="preserve">hohen Maßes an </w:t>
      </w:r>
      <w:r w:rsidRPr="00D1021A">
        <w:rPr>
          <w:rFonts w:ascii="Poppins" w:hAnsi="Poppins" w:cs="Poppins"/>
          <w:sz w:val="24"/>
          <w:szCs w:val="24"/>
        </w:rPr>
        <w:t>Barrierefreiheit aus.</w:t>
      </w:r>
    </w:p>
    <w:p w14:paraId="3684B6FA" w14:textId="77777777" w:rsidR="0040385C" w:rsidRPr="00D1021A" w:rsidRDefault="00046E90" w:rsidP="009B614E">
      <w:pPr>
        <w:pStyle w:val="berschrift1"/>
        <w:rPr>
          <w:rFonts w:ascii="Poppins" w:hAnsi="Poppins" w:cs="Poppins"/>
        </w:rPr>
      </w:pPr>
      <w:bookmarkStart w:id="11" w:name="_Toc177037293"/>
      <w:r w:rsidRPr="00D1021A">
        <w:rPr>
          <w:rFonts w:ascii="Poppins" w:hAnsi="Poppins" w:cs="Poppins"/>
        </w:rPr>
        <w:lastRenderedPageBreak/>
        <w:t>Qualität der Bildung</w:t>
      </w:r>
      <w:bookmarkEnd w:id="11"/>
    </w:p>
    <w:p w14:paraId="1C6C6885" w14:textId="58656487" w:rsidR="0040385C" w:rsidRPr="00D1021A" w:rsidRDefault="00046E90" w:rsidP="00E55947">
      <w:pPr>
        <w:pStyle w:val="Flietext"/>
        <w:jc w:val="left"/>
        <w:rPr>
          <w:rFonts w:ascii="Poppins" w:hAnsi="Poppins" w:cs="Poppins"/>
          <w:szCs w:val="24"/>
          <w14:ligatures w14:val="none"/>
        </w:rPr>
      </w:pPr>
      <w:r w:rsidRPr="00D1021A">
        <w:rPr>
          <w:rFonts w:ascii="Poppins" w:hAnsi="Poppins" w:cs="Poppins"/>
          <w:szCs w:val="24"/>
        </w:rPr>
        <w:t xml:space="preserve">Menschen einen Zugang zu qualitativ hochwertiger Bildung zur ermöglichen gilt als </w:t>
      </w:r>
      <w:r w:rsidR="00C47C7B" w:rsidRPr="00D1021A">
        <w:rPr>
          <w:rFonts w:ascii="Poppins" w:hAnsi="Poppins" w:cs="Poppins"/>
          <w:szCs w:val="24"/>
        </w:rPr>
        <w:t xml:space="preserve">einer </w:t>
      </w:r>
      <w:r w:rsidRPr="00D1021A">
        <w:rPr>
          <w:rFonts w:ascii="Poppins" w:hAnsi="Poppins" w:cs="Poppins"/>
          <w:szCs w:val="24"/>
        </w:rPr>
        <w:t>der wichtigste</w:t>
      </w:r>
      <w:r w:rsidR="00C47C7B" w:rsidRPr="00D1021A">
        <w:rPr>
          <w:rFonts w:ascii="Poppins" w:hAnsi="Poppins" w:cs="Poppins"/>
          <w:szCs w:val="24"/>
        </w:rPr>
        <w:t>n</w:t>
      </w:r>
      <w:r w:rsidRPr="00D1021A">
        <w:rPr>
          <w:rFonts w:ascii="Poppins" w:hAnsi="Poppins" w:cs="Poppins"/>
          <w:szCs w:val="24"/>
        </w:rPr>
        <w:t xml:space="preserve"> Faktor</w:t>
      </w:r>
      <w:r w:rsidR="00C47C7B" w:rsidRPr="00D1021A">
        <w:rPr>
          <w:rFonts w:ascii="Poppins" w:hAnsi="Poppins" w:cs="Poppins"/>
          <w:szCs w:val="24"/>
        </w:rPr>
        <w:t>en</w:t>
      </w:r>
      <w:r w:rsidRPr="00D1021A">
        <w:rPr>
          <w:rFonts w:ascii="Poppins" w:hAnsi="Poppins" w:cs="Poppins"/>
          <w:szCs w:val="24"/>
        </w:rPr>
        <w:t xml:space="preserve"> zur Lösung vieler großer Probleme unserer Zeit. </w:t>
      </w:r>
      <w:r w:rsidR="00C47C7B" w:rsidRPr="00D1021A">
        <w:rPr>
          <w:rFonts w:ascii="Poppins" w:hAnsi="Poppins" w:cs="Poppins"/>
          <w:szCs w:val="24"/>
        </w:rPr>
        <w:t>Bildung</w:t>
      </w:r>
      <w:r w:rsidRPr="00D1021A">
        <w:rPr>
          <w:rFonts w:ascii="Poppins" w:hAnsi="Poppins" w:cs="Poppins"/>
          <w:szCs w:val="24"/>
        </w:rPr>
        <w:t xml:space="preserve"> leistet einen Beitrag zur Chancengerechtigkeit. Investitionen in Bildung zahlen sich aus, sowohl für das Individuum als auch für die Gesellschaft. Es gibt eine Vielzahl von positiven Effekten, die durch Bildung erreicht werden, dabei zeigt sich, dass viele Aspekte – sowohl soziologische als auch ökonomische – komplex und miteinander verwoben sind. Qualitätsmanagement in der Bildung wird dabei als Ökonomisierung der Bildung allerdings auch kritisch gesehen.</w:t>
      </w:r>
      <w:r w:rsidR="00C47C7B" w:rsidRPr="00D1021A">
        <w:rPr>
          <w:rFonts w:ascii="Poppins" w:hAnsi="Poppins" w:cs="Poppins"/>
          <w:szCs w:val="24"/>
        </w:rPr>
        <w:t xml:space="preserve"> Es könnte als indirektes Steuerungsmittel interpretiert werden, welches die Selbstbestimmung der Bildungsakteur*innen und die Demokratisierung der Bildung einschränkt.</w:t>
      </w:r>
    </w:p>
    <w:p w14:paraId="05F265AD" w14:textId="73BF4210" w:rsidR="0040385C" w:rsidRPr="00D1021A" w:rsidRDefault="00046E90" w:rsidP="00E55947">
      <w:pPr>
        <w:pStyle w:val="Flietext"/>
        <w:jc w:val="left"/>
        <w:rPr>
          <w:rFonts w:ascii="Poppins" w:hAnsi="Poppins" w:cs="Poppins"/>
          <w:szCs w:val="24"/>
          <w14:ligatures w14:val="none"/>
        </w:rPr>
      </w:pPr>
      <w:r w:rsidRPr="00D1021A">
        <w:rPr>
          <w:rFonts w:ascii="Poppins" w:hAnsi="Poppins" w:cs="Poppins"/>
          <w:szCs w:val="24"/>
        </w:rPr>
        <w:t>Die Qualität der Bildung muss zahlreichen gesellschaftlichen und rechtlichen Aufgaben gerecht werden sowie verschiedenen am Bildungsprozess beteiligten Personen, Institutionen und Strukturen entsprechen. Aus diesem Grund lässt sich der Qualitätsbegriff in der Bildung nur schwer fassen</w:t>
      </w:r>
      <w:r w:rsidR="002E4C5C" w:rsidRPr="00D1021A">
        <w:rPr>
          <w:rFonts w:ascii="Poppins" w:hAnsi="Poppins" w:cs="Poppins"/>
          <w:szCs w:val="24"/>
        </w:rPr>
        <w:t xml:space="preserve"> und ist kontextabhängig</w:t>
      </w:r>
      <w:r w:rsidRPr="00D1021A">
        <w:rPr>
          <w:rFonts w:ascii="Poppins" w:hAnsi="Poppins" w:cs="Poppins"/>
          <w:szCs w:val="24"/>
        </w:rPr>
        <w:t>.</w:t>
      </w:r>
    </w:p>
    <w:p w14:paraId="3F334988" w14:textId="77777777" w:rsidR="0040385C" w:rsidRPr="00D1021A" w:rsidRDefault="00046E90" w:rsidP="009B614E">
      <w:pPr>
        <w:pStyle w:val="berschrift2"/>
        <w:rPr>
          <w:rFonts w:ascii="Poppins" w:hAnsi="Poppins" w:cs="Poppins"/>
          <w14:ligatures w14:val="none"/>
        </w:rPr>
      </w:pPr>
      <w:bookmarkStart w:id="12" w:name="_Toc177037294"/>
      <w:r w:rsidRPr="00D1021A">
        <w:rPr>
          <w:rFonts w:ascii="Poppins" w:hAnsi="Poppins" w:cs="Poppins"/>
        </w:rPr>
        <w:t>Qualität</w:t>
      </w:r>
      <w:bookmarkEnd w:id="12"/>
    </w:p>
    <w:p w14:paraId="2D98BC47" w14:textId="26AAEF76" w:rsidR="0040385C" w:rsidRPr="00D1021A" w:rsidRDefault="00046E90" w:rsidP="00E55947">
      <w:pPr>
        <w:pStyle w:val="Flietext"/>
        <w:jc w:val="left"/>
        <w:rPr>
          <w:rFonts w:ascii="Poppins" w:hAnsi="Poppins" w:cs="Poppins"/>
        </w:rPr>
      </w:pPr>
      <w:r w:rsidRPr="00D1021A">
        <w:rPr>
          <w:rFonts w:ascii="Poppins" w:hAnsi="Poppins" w:cs="Poppins"/>
        </w:rPr>
        <w:t>Die ISO 9000 beschreibt Qualität als den Grad, in dem eine Menge innewohnender Merkmale eines Objektes Anforderungen erfüllt (</w:t>
      </w:r>
      <w:r w:rsidR="0058080D" w:rsidRPr="00D1021A">
        <w:rPr>
          <w:rFonts w:ascii="Poppins" w:hAnsi="Poppins" w:cs="Poppins"/>
        </w:rPr>
        <w:t xml:space="preserve">vgl. DIN EN </w:t>
      </w:r>
      <w:r w:rsidRPr="00D1021A">
        <w:rPr>
          <w:rFonts w:ascii="Poppins" w:hAnsi="Poppins" w:cs="Poppins"/>
        </w:rPr>
        <w:t>ISO 9000</w:t>
      </w:r>
      <w:r w:rsidR="0058080D" w:rsidRPr="00D1021A">
        <w:rPr>
          <w:rFonts w:ascii="Poppins" w:hAnsi="Poppins" w:cs="Poppins"/>
        </w:rPr>
        <w:t xml:space="preserve">, </w:t>
      </w:r>
      <w:r w:rsidRPr="00D1021A">
        <w:rPr>
          <w:rFonts w:ascii="Poppins" w:hAnsi="Poppins" w:cs="Poppins"/>
        </w:rPr>
        <w:t>2015). Es gibt also nicht die eine „hohe“ oder „gute“ Qualität</w:t>
      </w:r>
      <w:r w:rsidR="00732DCF" w:rsidRPr="00D1021A">
        <w:rPr>
          <w:rFonts w:ascii="Poppins" w:hAnsi="Poppins" w:cs="Poppins"/>
        </w:rPr>
        <w:t>,</w:t>
      </w:r>
      <w:r w:rsidRPr="00D1021A">
        <w:rPr>
          <w:rFonts w:ascii="Poppins" w:hAnsi="Poppins" w:cs="Poppins"/>
        </w:rPr>
        <w:t xml:space="preserve"> sonders es kommt darauf an, welche Qualitätsziele für ein Produkt oder </w:t>
      </w:r>
      <w:r w:rsidRPr="00D1021A">
        <w:rPr>
          <w:rFonts w:ascii="Poppins" w:hAnsi="Poppins" w:cs="Poppins"/>
        </w:rPr>
        <w:lastRenderedPageBreak/>
        <w:t xml:space="preserve">eine Dienstleistung festgelegt werden und ob diese erreicht wurden oder nicht. </w:t>
      </w:r>
      <w:r w:rsidRPr="00D1021A">
        <w:rPr>
          <w:rFonts w:ascii="Poppins" w:hAnsi="Poppins" w:cs="Poppins"/>
          <w:lang w:eastAsia="de-DE"/>
        </w:rPr>
        <w:t>Qualitätsmanagement</w:t>
      </w:r>
      <w:r w:rsidR="0036682D" w:rsidRPr="00D1021A">
        <w:rPr>
          <w:rFonts w:ascii="Poppins" w:hAnsi="Poppins" w:cs="Poppins"/>
          <w:lang w:eastAsia="de-DE"/>
        </w:rPr>
        <w:t xml:space="preserve"> (QM)</w:t>
      </w:r>
      <w:r w:rsidRPr="00D1021A">
        <w:rPr>
          <w:rFonts w:ascii="Poppins" w:hAnsi="Poppins" w:cs="Poppins"/>
          <w:lang w:eastAsia="de-DE"/>
        </w:rPr>
        <w:t xml:space="preserve"> besteht dann aus dem </w:t>
      </w:r>
      <w:r w:rsidRPr="00D1021A">
        <w:rPr>
          <w:rFonts w:ascii="Poppins" w:hAnsi="Poppins" w:cs="Poppins"/>
          <w:color w:val="000000" w:themeColor="text1"/>
          <w:lang w:eastAsia="de-DE"/>
        </w:rPr>
        <w:t xml:space="preserve">Festlegen von Zielen </w:t>
      </w:r>
      <w:r w:rsidRPr="00D1021A">
        <w:rPr>
          <w:rFonts w:ascii="Poppins" w:hAnsi="Poppins" w:cs="Poppins"/>
          <w:lang w:eastAsia="de-DE"/>
        </w:rPr>
        <w:t xml:space="preserve">auf verschiedenen Ebenen und zum Erreichen dieser Ziele aus </w:t>
      </w:r>
      <w:r w:rsidRPr="001E7009">
        <w:rPr>
          <w:rFonts w:ascii="Poppins" w:hAnsi="Poppins" w:cs="Poppins"/>
          <w:lang w:eastAsia="de-DE"/>
        </w:rPr>
        <w:t>einem Regelkreis von Planen, Durchführen, Überprüfen und Verbessern</w:t>
      </w:r>
      <w:r w:rsidR="007C615D" w:rsidRPr="001E7009">
        <w:rPr>
          <w:rFonts w:ascii="Poppins" w:hAnsi="Poppins" w:cs="Poppins"/>
          <w:lang w:eastAsia="de-DE"/>
        </w:rPr>
        <w:t xml:space="preserve"> (</w:t>
      </w:r>
      <w:r w:rsidR="0036682D" w:rsidRPr="001E7009">
        <w:rPr>
          <w:rFonts w:ascii="Poppins" w:hAnsi="Poppins" w:cs="Poppins"/>
          <w:lang w:eastAsia="de-DE"/>
        </w:rPr>
        <w:t>PDCA-Zyklus, siehe</w:t>
      </w:r>
      <w:r w:rsidR="003E00B3" w:rsidRPr="001E7009">
        <w:rPr>
          <w:rFonts w:ascii="Poppins" w:hAnsi="Poppins" w:cs="Poppins"/>
          <w:lang w:eastAsia="de-DE"/>
        </w:rPr>
        <w:t xml:space="preserve"> Kapitel </w:t>
      </w:r>
      <w:r w:rsidR="0036682D" w:rsidRPr="001E7009">
        <w:rPr>
          <w:rFonts w:ascii="Poppins" w:hAnsi="Poppins" w:cs="Poppins"/>
          <w:lang w:eastAsia="de-DE"/>
        </w:rPr>
        <w:t>2.2.3</w:t>
      </w:r>
      <w:r w:rsidR="00441D9D" w:rsidRPr="001E7009">
        <w:rPr>
          <w:rFonts w:ascii="Poppins" w:hAnsi="Poppins" w:cs="Poppins"/>
          <w:lang w:eastAsia="de-DE"/>
        </w:rPr>
        <w:t xml:space="preserve"> Qualität von Lehr-/Lernressourcen</w:t>
      </w:r>
      <w:r w:rsidR="003E00B3" w:rsidRPr="001E7009">
        <w:rPr>
          <w:rFonts w:ascii="Poppins" w:hAnsi="Poppins" w:cs="Poppins"/>
          <w:lang w:eastAsia="de-DE"/>
        </w:rPr>
        <w:t xml:space="preserve">, S. </w:t>
      </w:r>
      <w:r w:rsidR="0036682D" w:rsidRPr="001E7009">
        <w:rPr>
          <w:rFonts w:ascii="Poppins" w:hAnsi="Poppins" w:cs="Poppins"/>
          <w:lang w:eastAsia="de-DE"/>
        </w:rPr>
        <w:t>1</w:t>
      </w:r>
      <w:r w:rsidR="00C96425" w:rsidRPr="001E7009">
        <w:rPr>
          <w:rFonts w:ascii="Poppins" w:hAnsi="Poppins" w:cs="Poppins"/>
          <w:lang w:eastAsia="de-DE"/>
        </w:rPr>
        <w:t>6</w:t>
      </w:r>
      <w:r w:rsidR="003E00B3" w:rsidRPr="001E7009">
        <w:rPr>
          <w:rFonts w:ascii="Poppins" w:hAnsi="Poppins" w:cs="Poppins"/>
          <w:lang w:eastAsia="de-DE"/>
        </w:rPr>
        <w:t xml:space="preserve">). </w:t>
      </w:r>
      <w:r w:rsidRPr="001E7009">
        <w:rPr>
          <w:rFonts w:ascii="Poppins" w:hAnsi="Poppins" w:cs="Poppins"/>
          <w:lang w:eastAsia="de-DE"/>
        </w:rPr>
        <w:t>Qualitätssicherung ist in diesem umfassenden Ansatz Bestandteil des Regelkreises (</w:t>
      </w:r>
      <w:bookmarkStart w:id="13" w:name="_Hlk173422407"/>
      <w:r w:rsidRPr="001E7009">
        <w:rPr>
          <w:rFonts w:ascii="Poppins" w:hAnsi="Poppins" w:cs="Poppins"/>
          <w:lang w:eastAsia="de-DE"/>
        </w:rPr>
        <w:t>vgl. DGQ, 2015, S. 13 ff.</w:t>
      </w:r>
      <w:bookmarkEnd w:id="13"/>
      <w:r w:rsidRPr="001E7009">
        <w:rPr>
          <w:rFonts w:ascii="Poppins" w:hAnsi="Poppins" w:cs="Poppins"/>
          <w:lang w:eastAsia="de-DE"/>
        </w:rPr>
        <w:t xml:space="preserve">). </w:t>
      </w:r>
      <w:r w:rsidRPr="001E7009">
        <w:rPr>
          <w:rFonts w:ascii="Poppins" w:hAnsi="Poppins" w:cs="Poppins"/>
        </w:rPr>
        <w:t xml:space="preserve">Es wird zwischen verschiedenen </w:t>
      </w:r>
      <w:r w:rsidRPr="00D1021A">
        <w:rPr>
          <w:rFonts w:ascii="Poppins" w:hAnsi="Poppins" w:cs="Poppins"/>
        </w:rPr>
        <w:t>Dimensionen der Qualität unterschieden, die bei der Erstellung von OER berücksichtigt werden müssen.</w:t>
      </w:r>
    </w:p>
    <w:p w14:paraId="3E1F1522" w14:textId="77777777" w:rsidR="0040385C" w:rsidRPr="00D1021A" w:rsidRDefault="00046E90" w:rsidP="009B614E">
      <w:pPr>
        <w:pStyle w:val="berschrift3"/>
        <w:rPr>
          <w:rFonts w:ascii="Poppins" w:hAnsi="Poppins" w:cs="Poppins"/>
          <w:lang w:eastAsia="de-DE"/>
        </w:rPr>
      </w:pPr>
      <w:bookmarkStart w:id="14" w:name="_Toc177037295"/>
      <w:r w:rsidRPr="00D1021A">
        <w:rPr>
          <w:rFonts w:ascii="Poppins" w:hAnsi="Poppins" w:cs="Poppins"/>
        </w:rPr>
        <w:t>Qualitätsdimensionen</w:t>
      </w:r>
      <w:bookmarkEnd w:id="14"/>
    </w:p>
    <w:p w14:paraId="497A9A15" w14:textId="13837C2D" w:rsidR="0040385C" w:rsidRPr="00D1021A" w:rsidRDefault="00046E90" w:rsidP="00E55947">
      <w:pPr>
        <w:pStyle w:val="Flietext"/>
        <w:jc w:val="left"/>
        <w:rPr>
          <w:rFonts w:ascii="Poppins" w:hAnsi="Poppins" w:cs="Poppins"/>
          <w:szCs w:val="24"/>
        </w:rPr>
      </w:pPr>
      <w:r w:rsidRPr="00D1021A">
        <w:rPr>
          <w:rFonts w:ascii="Poppins" w:hAnsi="Poppins" w:cs="Poppins"/>
        </w:rPr>
        <w:t xml:space="preserve">Donabedian (1966) unterscheidet in seiner Forschung zwischen drei </w:t>
      </w:r>
      <w:r w:rsidRPr="00D1021A">
        <w:rPr>
          <w:rFonts w:ascii="Poppins" w:hAnsi="Poppins" w:cs="Poppins"/>
          <w:szCs w:val="24"/>
        </w:rPr>
        <w:t>Qualitätsdimensionen: der Ergebnisqualität, der Prozessqualität und der Strukturqualität, welche in einer Ursache-Wirkung-Beziehung zueinanderstehen (</w:t>
      </w:r>
      <w:bookmarkStart w:id="15" w:name="_Hlk173422469"/>
      <w:r w:rsidRPr="00D1021A">
        <w:rPr>
          <w:rFonts w:ascii="Poppins" w:hAnsi="Poppins" w:cs="Poppins"/>
          <w:szCs w:val="24"/>
        </w:rPr>
        <w:t>Donabedian, 1966, S. 168 ff.</w:t>
      </w:r>
      <w:bookmarkEnd w:id="15"/>
      <w:r w:rsidRPr="00D1021A">
        <w:rPr>
          <w:rFonts w:ascii="Poppins" w:hAnsi="Poppins" w:cs="Poppins"/>
          <w:szCs w:val="24"/>
        </w:rPr>
        <w:t xml:space="preserve"> </w:t>
      </w:r>
      <w:r w:rsidR="00D55196" w:rsidRPr="00D1021A">
        <w:rPr>
          <w:rFonts w:ascii="Poppins" w:hAnsi="Poppins" w:cs="Poppins"/>
          <w:szCs w:val="24"/>
        </w:rPr>
        <w:t>/</w:t>
      </w:r>
      <w:r w:rsidRPr="00D1021A">
        <w:rPr>
          <w:rFonts w:ascii="Poppins" w:hAnsi="Poppins" w:cs="Poppins"/>
          <w:szCs w:val="24"/>
        </w:rPr>
        <w:t xml:space="preserve"> DGQ, 2015, S. 146 f.).</w:t>
      </w:r>
    </w:p>
    <w:p w14:paraId="6D2A7952" w14:textId="45B09E61" w:rsidR="002E4C5C" w:rsidRPr="00D1021A" w:rsidRDefault="00046E90" w:rsidP="00E55947">
      <w:pPr>
        <w:spacing w:line="360" w:lineRule="auto"/>
        <w:rPr>
          <w:rFonts w:ascii="Poppins" w:hAnsi="Poppins" w:cs="Poppins"/>
          <w:sz w:val="24"/>
          <w:szCs w:val="24"/>
        </w:rPr>
      </w:pPr>
      <w:r w:rsidRPr="00D1021A">
        <w:rPr>
          <w:rFonts w:ascii="Poppins" w:hAnsi="Poppins" w:cs="Poppins"/>
          <w:sz w:val="24"/>
          <w:szCs w:val="24"/>
        </w:rPr>
        <w:t>Die Ergebnisqualität beschreibt das Endprodukt – bei der HOOU die erstellten OER. Damit die OER den Qualitätsanforderungen gerecht werden können, m</w:t>
      </w:r>
      <w:r w:rsidR="00732DCF" w:rsidRPr="00D1021A">
        <w:rPr>
          <w:rFonts w:ascii="Poppins" w:hAnsi="Poppins" w:cs="Poppins"/>
          <w:sz w:val="24"/>
          <w:szCs w:val="24"/>
        </w:rPr>
        <w:t>ü</w:t>
      </w:r>
      <w:r w:rsidRPr="00D1021A">
        <w:rPr>
          <w:rFonts w:ascii="Poppins" w:hAnsi="Poppins" w:cs="Poppins"/>
          <w:sz w:val="24"/>
          <w:szCs w:val="24"/>
        </w:rPr>
        <w:t>ss</w:t>
      </w:r>
      <w:r w:rsidR="00732DCF" w:rsidRPr="00D1021A">
        <w:rPr>
          <w:rFonts w:ascii="Poppins" w:hAnsi="Poppins" w:cs="Poppins"/>
          <w:sz w:val="24"/>
          <w:szCs w:val="24"/>
        </w:rPr>
        <w:t>en</w:t>
      </w:r>
      <w:r w:rsidRPr="00D1021A">
        <w:rPr>
          <w:rFonts w:ascii="Poppins" w:hAnsi="Poppins" w:cs="Poppins"/>
          <w:sz w:val="24"/>
          <w:szCs w:val="24"/>
        </w:rPr>
        <w:t xml:space="preserve"> jedoch bereits der Entwicklungsprozess den Qualitätsanforderungen entsprechen und die Prozessqualität gewährleistet werden. Dies wird bei der HOOU in besonderer Form durch eine sehr engmaschige Betreuung und Beratung umgesetzt.</w:t>
      </w:r>
    </w:p>
    <w:p w14:paraId="6D9A5949" w14:textId="0F98978B" w:rsidR="0040385C" w:rsidRPr="00D1021A" w:rsidRDefault="003E31EC" w:rsidP="00E55947">
      <w:pPr>
        <w:pStyle w:val="Flietext"/>
        <w:jc w:val="left"/>
        <w:rPr>
          <w:rFonts w:ascii="Poppins" w:hAnsi="Poppins" w:cs="Poppins"/>
        </w:rPr>
      </w:pPr>
      <w:r w:rsidRPr="00D1021A">
        <w:rPr>
          <w:rFonts w:ascii="Poppins" w:eastAsiaTheme="minorEastAsia" w:hAnsi="Poppins" w:cs="Poppins"/>
          <w:szCs w:val="24"/>
        </w:rPr>
        <w:t>Prozesse beschreiben das „Wie“ des Handels bzw. eine Abfolge an Tätigkeit. (</w:t>
      </w:r>
      <w:r w:rsidR="00611DDE" w:rsidRPr="00D1021A">
        <w:rPr>
          <w:rFonts w:ascii="Poppins" w:eastAsiaTheme="minorEastAsia" w:hAnsi="Poppins" w:cs="Poppins"/>
          <w:szCs w:val="24"/>
        </w:rPr>
        <w:t xml:space="preserve">vgl. </w:t>
      </w:r>
      <w:proofErr w:type="spellStart"/>
      <w:r w:rsidR="00611DDE" w:rsidRPr="00D1021A">
        <w:rPr>
          <w:rFonts w:ascii="Poppins" w:eastAsiaTheme="minorEastAsia" w:hAnsi="Poppins" w:cs="Poppins"/>
          <w:szCs w:val="24"/>
        </w:rPr>
        <w:t>Sternad</w:t>
      </w:r>
      <w:proofErr w:type="spellEnd"/>
      <w:r w:rsidR="003B65D6" w:rsidRPr="00D1021A">
        <w:rPr>
          <w:rFonts w:ascii="Poppins" w:eastAsiaTheme="minorEastAsia" w:hAnsi="Poppins" w:cs="Poppins"/>
          <w:szCs w:val="24"/>
        </w:rPr>
        <w:t xml:space="preserve"> </w:t>
      </w:r>
      <w:r w:rsidR="00611DDE" w:rsidRPr="00D1021A">
        <w:rPr>
          <w:rFonts w:ascii="Poppins" w:eastAsiaTheme="minorEastAsia" w:hAnsi="Poppins" w:cs="Poppins"/>
          <w:szCs w:val="24"/>
        </w:rPr>
        <w:t xml:space="preserve">&amp; </w:t>
      </w:r>
      <w:proofErr w:type="spellStart"/>
      <w:r w:rsidR="00611DDE" w:rsidRPr="00D1021A">
        <w:rPr>
          <w:rFonts w:ascii="Poppins" w:eastAsiaTheme="minorEastAsia" w:hAnsi="Poppins" w:cs="Poppins"/>
          <w:szCs w:val="24"/>
        </w:rPr>
        <w:t>Mödritscher</w:t>
      </w:r>
      <w:proofErr w:type="spellEnd"/>
      <w:r w:rsidR="00611DDE" w:rsidRPr="00D1021A">
        <w:rPr>
          <w:rFonts w:ascii="Poppins" w:eastAsiaTheme="minorEastAsia" w:hAnsi="Poppins" w:cs="Poppins"/>
          <w:szCs w:val="24"/>
        </w:rPr>
        <w:t>, 2018, S. 184</w:t>
      </w:r>
      <w:r w:rsidRPr="00D1021A">
        <w:rPr>
          <w:rFonts w:ascii="Poppins" w:eastAsiaTheme="minorEastAsia" w:hAnsi="Poppins" w:cs="Poppins"/>
          <w:szCs w:val="24"/>
        </w:rPr>
        <w:t xml:space="preserve">). „Werden die richtigen Aktivitäten in effizienter und effektiver Art und Weise miteinander </w:t>
      </w:r>
      <w:r w:rsidRPr="00D1021A">
        <w:rPr>
          <w:rFonts w:ascii="Poppins" w:eastAsiaTheme="minorEastAsia" w:hAnsi="Poppins" w:cs="Poppins"/>
          <w:szCs w:val="24"/>
        </w:rPr>
        <w:lastRenderedPageBreak/>
        <w:t xml:space="preserve">kombiniert, kann eine hohe Prozessqualität erreicht werden. Eine hohe Prozessqualität ist wiederrum eine wesentliche Voraussetzung </w:t>
      </w:r>
      <w:r w:rsidR="00611DDE" w:rsidRPr="00D1021A">
        <w:rPr>
          <w:rFonts w:ascii="Poppins" w:eastAsiaTheme="minorEastAsia" w:hAnsi="Poppins" w:cs="Poppins"/>
          <w:szCs w:val="24"/>
        </w:rPr>
        <w:t>d</w:t>
      </w:r>
      <w:r w:rsidRPr="00D1021A">
        <w:rPr>
          <w:rFonts w:ascii="Poppins" w:eastAsiaTheme="minorEastAsia" w:hAnsi="Poppins" w:cs="Poppins"/>
          <w:szCs w:val="24"/>
        </w:rPr>
        <w:t>afür, um hochwertige Ergebnisse zu erzielen“ (ebd.).</w:t>
      </w:r>
      <w:r w:rsidR="00B007EA" w:rsidRPr="00D1021A">
        <w:rPr>
          <w:rFonts w:ascii="Poppins" w:eastAsiaTheme="minorEastAsia" w:hAnsi="Poppins" w:cs="Poppins"/>
          <w:szCs w:val="24"/>
        </w:rPr>
        <w:t xml:space="preserve"> </w:t>
      </w:r>
      <w:r w:rsidR="002E4C5C" w:rsidRPr="00D1021A">
        <w:rPr>
          <w:rFonts w:ascii="Poppins" w:eastAsiaTheme="minorEastAsia" w:hAnsi="Poppins" w:cs="Poppins"/>
          <w:szCs w:val="24"/>
        </w:rPr>
        <w:t>Bezogen auf OER ist damit die Prozessqualität in der Entwicklung von Lernangeboten gemeint.</w:t>
      </w:r>
      <w:r w:rsidR="007C615D" w:rsidRPr="00D1021A">
        <w:rPr>
          <w:rFonts w:ascii="Poppins" w:eastAsiaTheme="minorEastAsia" w:hAnsi="Poppins" w:cs="Poppins"/>
          <w:szCs w:val="24"/>
        </w:rPr>
        <w:t xml:space="preserve"> </w:t>
      </w:r>
      <w:r w:rsidR="00046E90" w:rsidRPr="00D1021A">
        <w:rPr>
          <w:rFonts w:ascii="Poppins" w:eastAsiaTheme="minorEastAsia" w:hAnsi="Poppins" w:cs="Poppins"/>
          <w:szCs w:val="24"/>
        </w:rPr>
        <w:t>Die</w:t>
      </w:r>
      <w:r w:rsidR="007C615D" w:rsidRPr="00D1021A">
        <w:rPr>
          <w:rFonts w:ascii="Poppins" w:eastAsiaTheme="minorEastAsia" w:hAnsi="Poppins" w:cs="Poppins"/>
          <w:szCs w:val="24"/>
        </w:rPr>
        <w:t xml:space="preserve"> </w:t>
      </w:r>
      <w:r w:rsidR="00046E90" w:rsidRPr="00D1021A">
        <w:rPr>
          <w:rFonts w:ascii="Poppins" w:eastAsiaTheme="minorEastAsia" w:hAnsi="Poppins" w:cs="Poppins"/>
          <w:szCs w:val="24"/>
        </w:rPr>
        <w:t>Strukturqualität bezeichnet die Struktur der gesamten Organisation (Aufbau</w:t>
      </w:r>
      <w:r w:rsidR="00046E90" w:rsidRPr="00D1021A">
        <w:rPr>
          <w:rFonts w:ascii="Poppins" w:hAnsi="Poppins" w:cs="Poppins"/>
        </w:rPr>
        <w:t xml:space="preserve">, finanzielle, personelle und sachliche Rahmenbedingungen etc.) </w:t>
      </w:r>
      <w:r w:rsidR="00611DDE" w:rsidRPr="00D1021A">
        <w:rPr>
          <w:rFonts w:ascii="Poppins" w:hAnsi="Poppins" w:cs="Poppins"/>
        </w:rPr>
        <w:t xml:space="preserve">(vgl. </w:t>
      </w:r>
      <w:r w:rsidR="00611DDE" w:rsidRPr="00D1021A">
        <w:rPr>
          <w:rFonts w:ascii="Poppins" w:hAnsi="Poppins" w:cs="Poppins"/>
          <w:szCs w:val="24"/>
        </w:rPr>
        <w:t>DGQ, 2015</w:t>
      </w:r>
      <w:r w:rsidR="00E4128D" w:rsidRPr="00D1021A">
        <w:rPr>
          <w:rFonts w:ascii="Poppins" w:hAnsi="Poppins" w:cs="Poppins"/>
        </w:rPr>
        <w:t>,</w:t>
      </w:r>
      <w:r w:rsidR="00046E90" w:rsidRPr="00D1021A">
        <w:rPr>
          <w:rFonts w:ascii="Poppins" w:hAnsi="Poppins" w:cs="Poppins"/>
        </w:rPr>
        <w:t xml:space="preserve"> S. 147). Die HOOU als Verbund verschiedener Hochschulen und Institutionen schafft in Bezug auf die Strukturqualität eine besondere Rahmung, der Rechnung getragen werden muss.</w:t>
      </w:r>
    </w:p>
    <w:p w14:paraId="670F7698" w14:textId="0E74C905" w:rsidR="0040385C" w:rsidRPr="00D1021A" w:rsidRDefault="00046E90" w:rsidP="00E55947">
      <w:pPr>
        <w:pStyle w:val="Flietext"/>
        <w:jc w:val="left"/>
        <w:rPr>
          <w:rFonts w:ascii="Poppins" w:eastAsiaTheme="minorEastAsia" w:hAnsi="Poppins" w:cs="Poppins"/>
        </w:rPr>
      </w:pPr>
      <w:r w:rsidRPr="00D1021A">
        <w:rPr>
          <w:rFonts w:ascii="Poppins" w:eastAsiaTheme="minorEastAsia" w:hAnsi="Poppins" w:cs="Poppins"/>
          <w:szCs w:val="24"/>
        </w:rPr>
        <w:t>Alle Qualitätsarten stehen in einer wechselseitigen Beziehung</w:t>
      </w:r>
      <w:r w:rsidRPr="00D1021A">
        <w:rPr>
          <w:rFonts w:ascii="Poppins" w:eastAsiaTheme="minorEastAsia" w:hAnsi="Poppins" w:cs="Poppins"/>
          <w:b/>
          <w:bCs/>
          <w:szCs w:val="24"/>
        </w:rPr>
        <w:t xml:space="preserve"> </w:t>
      </w:r>
      <w:r w:rsidRPr="00D1021A">
        <w:rPr>
          <w:rFonts w:ascii="Poppins" w:eastAsiaTheme="minorEastAsia" w:hAnsi="Poppins" w:cs="Poppins"/>
          <w:szCs w:val="24"/>
        </w:rPr>
        <w:t>zueinander und bedingen sich gegenseitig.</w:t>
      </w:r>
    </w:p>
    <w:p w14:paraId="21E00056" w14:textId="77777777" w:rsidR="0040385C" w:rsidRPr="00D1021A" w:rsidRDefault="00046E90" w:rsidP="009B614E">
      <w:pPr>
        <w:pStyle w:val="berschrift3"/>
        <w:rPr>
          <w:rFonts w:ascii="Poppins" w:eastAsiaTheme="minorEastAsia" w:hAnsi="Poppins" w:cs="Poppins"/>
        </w:rPr>
      </w:pPr>
      <w:bookmarkStart w:id="16" w:name="_Toc177037296"/>
      <w:r w:rsidRPr="00D1021A">
        <w:rPr>
          <w:rFonts w:ascii="Poppins" w:hAnsi="Poppins" w:cs="Poppins"/>
        </w:rPr>
        <w:t>Bedeutung für die gelebte Praxis</w:t>
      </w:r>
      <w:bookmarkEnd w:id="16"/>
    </w:p>
    <w:p w14:paraId="2979ABED" w14:textId="0F58C774" w:rsidR="0040385C" w:rsidRPr="00D1021A" w:rsidRDefault="00046E90" w:rsidP="00E55947">
      <w:pPr>
        <w:spacing w:line="360" w:lineRule="auto"/>
        <w:rPr>
          <w:rFonts w:ascii="Poppins" w:eastAsiaTheme="minorEastAsia" w:hAnsi="Poppins" w:cs="Poppins"/>
          <w:sz w:val="24"/>
          <w:szCs w:val="24"/>
        </w:rPr>
      </w:pPr>
      <w:r w:rsidRPr="00D1021A">
        <w:rPr>
          <w:rFonts w:ascii="Poppins" w:eastAsiaTheme="minorEastAsia" w:hAnsi="Poppins" w:cs="Poppins"/>
          <w:sz w:val="24"/>
          <w:szCs w:val="24"/>
        </w:rPr>
        <w:t>„Während frühere Arbeiten vor allem Definitionen, Konzeptionen, Systeme oder Modelle von Qualität oder Qualitätsmanagement in den Blick genommen haben, gehen aktuelle Arbeiten stärker der Frage nach, welche Effekte, Wirkungen oder nicht intendierte Konsequenzen eigentlich mit qualitätsbezogenen Praktiken einhergehen. Dabei wird die konkrete, gelebte Praxis stärker zum Gegenstand der Forschung gemacht“ (</w:t>
      </w:r>
      <w:bookmarkStart w:id="17" w:name="_Hlk173422624"/>
      <w:r w:rsidRPr="00D1021A">
        <w:rPr>
          <w:rFonts w:ascii="Poppins" w:eastAsiaTheme="minorEastAsia" w:hAnsi="Poppins" w:cs="Poppins"/>
          <w:sz w:val="24"/>
          <w:szCs w:val="24"/>
        </w:rPr>
        <w:t>Reith et al., 2019, S. 23</w:t>
      </w:r>
      <w:bookmarkEnd w:id="17"/>
      <w:r w:rsidRPr="00D1021A">
        <w:rPr>
          <w:rFonts w:ascii="Poppins" w:eastAsiaTheme="minorEastAsia" w:hAnsi="Poppins" w:cs="Poppins"/>
          <w:sz w:val="24"/>
          <w:szCs w:val="24"/>
        </w:rPr>
        <w:t>).</w:t>
      </w:r>
    </w:p>
    <w:p w14:paraId="3BC55DEB" w14:textId="4255257C" w:rsidR="0040385C" w:rsidRPr="00D1021A" w:rsidRDefault="00046E90" w:rsidP="00E55947">
      <w:pPr>
        <w:pStyle w:val="Flietext"/>
        <w:jc w:val="left"/>
        <w:rPr>
          <w:rFonts w:ascii="Poppins" w:hAnsi="Poppins" w:cs="Poppins"/>
        </w:rPr>
      </w:pPr>
      <w:r w:rsidRPr="00D1021A">
        <w:rPr>
          <w:rFonts w:ascii="Poppins" w:hAnsi="Poppins" w:cs="Poppins"/>
        </w:rPr>
        <w:t xml:space="preserve">Die erfolgreiche Implementierung eins QMS hängt maßgeblich von den an der Umsetzung beteiligten Personen </w:t>
      </w:r>
      <w:r w:rsidR="00D91EB3" w:rsidRPr="00D1021A">
        <w:rPr>
          <w:rFonts w:ascii="Poppins" w:hAnsi="Poppins" w:cs="Poppins"/>
        </w:rPr>
        <w:t>ab</w:t>
      </w:r>
      <w:r w:rsidRPr="00D1021A">
        <w:rPr>
          <w:rFonts w:ascii="Poppins" w:hAnsi="Poppins" w:cs="Poppins"/>
        </w:rPr>
        <w:t>. Daher sollten diese bereits während der Konzeptionsphase ein</w:t>
      </w:r>
      <w:r w:rsidR="00D91EB3" w:rsidRPr="00D1021A">
        <w:rPr>
          <w:rFonts w:ascii="Poppins" w:hAnsi="Poppins" w:cs="Poppins"/>
        </w:rPr>
        <w:t>e</w:t>
      </w:r>
      <w:r w:rsidRPr="00D1021A">
        <w:rPr>
          <w:rFonts w:ascii="Poppins" w:hAnsi="Poppins" w:cs="Poppins"/>
        </w:rPr>
        <w:t xml:space="preserve">s QMS in den Blick genommen werden. Diesem Ansatz wurde die HOOU bei der Konzeptionierung des </w:t>
      </w:r>
      <w:r w:rsidRPr="00D1021A">
        <w:rPr>
          <w:rFonts w:ascii="Poppins" w:hAnsi="Poppins" w:cs="Poppins"/>
        </w:rPr>
        <w:lastRenderedPageBreak/>
        <w:t>QMS gerecht, indem sowohl HOOU-Mitarbeitende als auch ehemalige HOOU-Projekte befragt wurden. Die</w:t>
      </w:r>
      <w:r w:rsidR="007C615D" w:rsidRPr="00D1021A">
        <w:rPr>
          <w:rFonts w:ascii="Poppins" w:hAnsi="Poppins" w:cs="Poppins"/>
        </w:rPr>
        <w:t>s</w:t>
      </w:r>
      <w:r w:rsidRPr="00D1021A">
        <w:rPr>
          <w:rFonts w:ascii="Poppins" w:hAnsi="Poppins" w:cs="Poppins"/>
        </w:rPr>
        <w:t xml:space="preserve"> wird im Kapitel Konzeptionierung des Qualitätsmanagementsystems der HOOU</w:t>
      </w:r>
      <w:r w:rsidR="007C615D" w:rsidRPr="00D1021A">
        <w:rPr>
          <w:rFonts w:ascii="Poppins" w:hAnsi="Poppins" w:cs="Poppins"/>
        </w:rPr>
        <w:t xml:space="preserve"> genauer beschrieben</w:t>
      </w:r>
      <w:r w:rsidRPr="00D1021A">
        <w:rPr>
          <w:rFonts w:ascii="Poppins" w:hAnsi="Poppins" w:cs="Poppins"/>
          <w14:ligatures w14:val="none"/>
        </w:rPr>
        <w:t>.</w:t>
      </w:r>
    </w:p>
    <w:p w14:paraId="1DB0CA67" w14:textId="77777777" w:rsidR="0040385C" w:rsidRPr="00D1021A" w:rsidRDefault="00046E90" w:rsidP="009B614E">
      <w:pPr>
        <w:pStyle w:val="berschrift2"/>
        <w:rPr>
          <w:rFonts w:ascii="Poppins" w:hAnsi="Poppins" w:cs="Poppins"/>
        </w:rPr>
      </w:pPr>
      <w:bookmarkStart w:id="18" w:name="_Toc177037297"/>
      <w:r w:rsidRPr="00D1021A">
        <w:rPr>
          <w:rFonts w:ascii="Poppins" w:hAnsi="Poppins" w:cs="Poppins"/>
        </w:rPr>
        <w:t>Bildung</w:t>
      </w:r>
      <w:bookmarkEnd w:id="18"/>
    </w:p>
    <w:p w14:paraId="22519694" w14:textId="73619FC3" w:rsidR="0040385C" w:rsidRPr="00D1021A" w:rsidRDefault="00046E90" w:rsidP="00E55947">
      <w:pPr>
        <w:pStyle w:val="Flietext"/>
        <w:jc w:val="left"/>
        <w:rPr>
          <w:rFonts w:ascii="Poppins" w:hAnsi="Poppins" w:cs="Poppins"/>
          <w14:ligatures w14:val="none"/>
        </w:rPr>
      </w:pPr>
      <w:r w:rsidRPr="00D1021A">
        <w:rPr>
          <w:rFonts w:ascii="Poppins" w:hAnsi="Poppins" w:cs="Poppins"/>
        </w:rPr>
        <w:t>Bildung ist die Antwort auf zahlreiche große Probleme unserer Welt. Der Begriff der Bildung kann aus vielfältigen Perspektiven betrachtet werden und befindet sich in einem stetigen Wandel (</w:t>
      </w:r>
      <w:bookmarkStart w:id="19" w:name="_Hlk173422838"/>
      <w:r w:rsidRPr="00D1021A">
        <w:rPr>
          <w:rFonts w:ascii="Poppins" w:hAnsi="Poppins" w:cs="Poppins"/>
        </w:rPr>
        <w:t>vgl. Rohlfs, 2011, S. 47</w:t>
      </w:r>
      <w:bookmarkEnd w:id="19"/>
      <w:r w:rsidRPr="00D1021A">
        <w:rPr>
          <w:rFonts w:ascii="Poppins" w:hAnsi="Poppins" w:cs="Poppins"/>
        </w:rPr>
        <w:t>).</w:t>
      </w:r>
      <w:r w:rsidR="00C17585" w:rsidRPr="00D1021A">
        <w:rPr>
          <w:rFonts w:ascii="Poppins" w:hAnsi="Poppins" w:cs="Poppins"/>
        </w:rPr>
        <w:t xml:space="preserve"> </w:t>
      </w:r>
      <w:r w:rsidR="003A08D5" w:rsidRPr="00D1021A">
        <w:rPr>
          <w:rFonts w:ascii="Poppins" w:hAnsi="Poppins" w:cs="Poppins"/>
        </w:rPr>
        <w:t xml:space="preserve">Ein Beispiel ist hier das </w:t>
      </w:r>
      <w:proofErr w:type="spellStart"/>
      <w:r w:rsidR="003A08D5" w:rsidRPr="00D1021A">
        <w:rPr>
          <w:rFonts w:ascii="Poppins" w:hAnsi="Poppins" w:cs="Poppins"/>
        </w:rPr>
        <w:t>Humboldtsche</w:t>
      </w:r>
      <w:proofErr w:type="spellEnd"/>
      <w:r w:rsidR="003A08D5" w:rsidRPr="00D1021A">
        <w:rPr>
          <w:rFonts w:ascii="Poppins" w:hAnsi="Poppins" w:cs="Poppins"/>
        </w:rPr>
        <w:t xml:space="preserve"> Bildungsideal, dem in Anbetracht der vielen Herausforderungen unserer Zeit </w:t>
      </w:r>
      <w:r w:rsidR="00D91EB3" w:rsidRPr="00D1021A">
        <w:rPr>
          <w:rFonts w:ascii="Poppins" w:hAnsi="Poppins" w:cs="Poppins"/>
        </w:rPr>
        <w:t xml:space="preserve">gegenwärtig </w:t>
      </w:r>
      <w:r w:rsidR="003A08D5" w:rsidRPr="00D1021A">
        <w:rPr>
          <w:rFonts w:ascii="Poppins" w:hAnsi="Poppins" w:cs="Poppins"/>
        </w:rPr>
        <w:t xml:space="preserve">viele Autor*innen besondere Aktualität zuschreiben (vgl. </w:t>
      </w:r>
      <w:proofErr w:type="spellStart"/>
      <w:r w:rsidR="003A08D5" w:rsidRPr="00D1021A">
        <w:rPr>
          <w:rFonts w:ascii="Poppins" w:hAnsi="Poppins" w:cs="Poppins"/>
        </w:rPr>
        <w:t>Herwald</w:t>
      </w:r>
      <w:proofErr w:type="spellEnd"/>
      <w:r w:rsidR="003A08D5" w:rsidRPr="00D1021A">
        <w:rPr>
          <w:rFonts w:ascii="Poppins" w:hAnsi="Poppins" w:cs="Poppins"/>
        </w:rPr>
        <w:t>, 2020, S. 39 /</w:t>
      </w:r>
      <w:r w:rsidR="00797719" w:rsidRPr="00D1021A">
        <w:rPr>
          <w:rFonts w:ascii="Poppins" w:hAnsi="Poppins" w:cs="Poppins"/>
        </w:rPr>
        <w:t xml:space="preserve"> </w:t>
      </w:r>
      <w:r w:rsidR="00797719" w:rsidRPr="00D948F5">
        <w:rPr>
          <w:rFonts w:ascii="Poppins" w:hAnsi="Poppins" w:cs="Poppins"/>
        </w:rPr>
        <w:t>Erichsen, 2024, S. 33 f.</w:t>
      </w:r>
      <w:r w:rsidR="003A08D5" w:rsidRPr="00D948F5">
        <w:rPr>
          <w:rFonts w:ascii="Poppins" w:hAnsi="Poppins" w:cs="Poppins"/>
        </w:rPr>
        <w:t>).</w:t>
      </w:r>
    </w:p>
    <w:p w14:paraId="2F0A7858" w14:textId="372E8720" w:rsidR="0040385C" w:rsidRPr="00D1021A" w:rsidRDefault="00046E90" w:rsidP="00E55947">
      <w:pPr>
        <w:pStyle w:val="Flietext"/>
        <w:jc w:val="left"/>
        <w:rPr>
          <w:rFonts w:ascii="Poppins" w:hAnsi="Poppins" w:cs="Poppins"/>
        </w:rPr>
      </w:pPr>
      <w:r w:rsidRPr="00D1021A">
        <w:rPr>
          <w:rFonts w:ascii="Poppins" w:hAnsi="Poppins" w:cs="Poppins"/>
        </w:rPr>
        <w:t>Der Zugang zu Bildung ist ein Menschenrecht (</w:t>
      </w:r>
      <w:bookmarkStart w:id="20" w:name="_Hlk173422862"/>
      <w:r w:rsidRPr="00D1021A">
        <w:rPr>
          <w:rFonts w:ascii="Poppins" w:hAnsi="Poppins" w:cs="Poppins"/>
        </w:rPr>
        <w:t>vgl. BMZ, 2024, o. S.</w:t>
      </w:r>
      <w:bookmarkEnd w:id="20"/>
      <w:r w:rsidRPr="00D1021A">
        <w:rPr>
          <w:rFonts w:ascii="Poppins" w:hAnsi="Poppins" w:cs="Poppins"/>
        </w:rPr>
        <w:t>), das 1948 in de</w:t>
      </w:r>
      <w:r w:rsidR="00D91EB3" w:rsidRPr="00D1021A">
        <w:rPr>
          <w:rFonts w:ascii="Poppins" w:hAnsi="Poppins" w:cs="Poppins"/>
        </w:rPr>
        <w:t>r</w:t>
      </w:r>
      <w:r w:rsidRPr="00D1021A">
        <w:rPr>
          <w:rFonts w:ascii="Poppins" w:hAnsi="Poppins" w:cs="Poppins"/>
        </w:rPr>
        <w:t xml:space="preserve"> Allgemeinen Erklärung der Menschenrechte festgelegt und durch weitere Dokumente konkretisiert wurde (</w:t>
      </w:r>
      <w:bookmarkStart w:id="21" w:name="_Hlk173422869"/>
      <w:r w:rsidRPr="00D1021A">
        <w:rPr>
          <w:rFonts w:ascii="Poppins" w:hAnsi="Poppins" w:cs="Poppins"/>
        </w:rPr>
        <w:t xml:space="preserve">vgl. </w:t>
      </w:r>
      <w:proofErr w:type="spellStart"/>
      <w:r w:rsidRPr="00D1021A">
        <w:rPr>
          <w:rFonts w:ascii="Poppins" w:hAnsi="Poppins" w:cs="Poppins"/>
        </w:rPr>
        <w:t>Motakef</w:t>
      </w:r>
      <w:proofErr w:type="spellEnd"/>
      <w:r w:rsidRPr="00D1021A">
        <w:rPr>
          <w:rFonts w:ascii="Poppins" w:hAnsi="Poppins" w:cs="Poppins"/>
        </w:rPr>
        <w:t>, 2006, S. 9</w:t>
      </w:r>
      <w:bookmarkEnd w:id="21"/>
      <w:r w:rsidRPr="00D1021A">
        <w:rPr>
          <w:rFonts w:ascii="Poppins" w:hAnsi="Poppins" w:cs="Poppins"/>
        </w:rPr>
        <w:t>). Die UNESCO fordert, dass alle Menschen Zugang zu qualitativ hochwertiger Bildung haben sollen und ihre individuellen Potenziale unabhängig von ihrem Geschlecht, ihren sozialen oder ökonomischen Voraussetzungen oder besonderen Lebensbedürfnissen entfalten können sollen (</w:t>
      </w:r>
      <w:bookmarkStart w:id="22" w:name="_Hlk173422887"/>
      <w:r w:rsidRPr="00D1021A">
        <w:rPr>
          <w:rFonts w:ascii="Poppins" w:hAnsi="Poppins" w:cs="Poppins"/>
        </w:rPr>
        <w:t>vgl. UNESCO, 2023a</w:t>
      </w:r>
      <w:bookmarkEnd w:id="22"/>
      <w:r w:rsidRPr="00D1021A">
        <w:rPr>
          <w:rFonts w:ascii="Poppins" w:hAnsi="Poppins" w:cs="Poppins"/>
        </w:rPr>
        <w:t xml:space="preserve">). Das ist auch das zentrale Ziel der Agenda Bildung 2030, die 2015 von den Vereinten Nationen verabschiedet wurde (vgl. </w:t>
      </w:r>
      <w:bookmarkStart w:id="23" w:name="_Hlk173422897"/>
      <w:r w:rsidRPr="00D1021A">
        <w:rPr>
          <w:rFonts w:ascii="Poppins" w:hAnsi="Poppins" w:cs="Poppins"/>
        </w:rPr>
        <w:t>UNESCO, 2023b</w:t>
      </w:r>
      <w:bookmarkEnd w:id="23"/>
      <w:r w:rsidRPr="00D1021A">
        <w:rPr>
          <w:rFonts w:ascii="Poppins" w:hAnsi="Poppins" w:cs="Poppins"/>
        </w:rPr>
        <w:t xml:space="preserve">). Das Recht auf Bildung ist das vierte der 17 </w:t>
      </w:r>
      <w:r w:rsidR="00FF6DD7" w:rsidRPr="00D1021A">
        <w:rPr>
          <w:rFonts w:ascii="Poppins" w:hAnsi="Poppins" w:cs="Poppins"/>
        </w:rPr>
        <w:t>Nachhaltigkeit</w:t>
      </w:r>
      <w:r w:rsidR="00BC1B60" w:rsidRPr="00D1021A">
        <w:rPr>
          <w:rFonts w:ascii="Poppins" w:hAnsi="Poppins" w:cs="Poppins"/>
        </w:rPr>
        <w:t>s</w:t>
      </w:r>
      <w:r w:rsidR="00FF6DD7" w:rsidRPr="00D1021A">
        <w:rPr>
          <w:rFonts w:ascii="Poppins" w:hAnsi="Poppins" w:cs="Poppins"/>
        </w:rPr>
        <w:t>ziele (</w:t>
      </w:r>
      <w:proofErr w:type="spellStart"/>
      <w:r w:rsidRPr="00D1021A">
        <w:rPr>
          <w:rFonts w:ascii="Poppins" w:hAnsi="Poppins" w:cs="Poppins"/>
        </w:rPr>
        <w:t>Sustainable</w:t>
      </w:r>
      <w:proofErr w:type="spellEnd"/>
      <w:r w:rsidRPr="00D1021A">
        <w:rPr>
          <w:rFonts w:ascii="Poppins" w:hAnsi="Poppins" w:cs="Poppins"/>
        </w:rPr>
        <w:t xml:space="preserve"> Development Goals</w:t>
      </w:r>
      <w:r w:rsidR="00FF6DD7" w:rsidRPr="00D1021A">
        <w:rPr>
          <w:rFonts w:ascii="Poppins" w:hAnsi="Poppins" w:cs="Poppins"/>
        </w:rPr>
        <w:t xml:space="preserve">, kurz: </w:t>
      </w:r>
      <w:r w:rsidRPr="00D1021A">
        <w:rPr>
          <w:rFonts w:ascii="Poppins" w:hAnsi="Poppins" w:cs="Poppins"/>
        </w:rPr>
        <w:t xml:space="preserve">SDGs) der United </w:t>
      </w:r>
      <w:proofErr w:type="spellStart"/>
      <w:r w:rsidRPr="00D1021A">
        <w:rPr>
          <w:rFonts w:ascii="Poppins" w:hAnsi="Poppins" w:cs="Poppins"/>
        </w:rPr>
        <w:t>Nations</w:t>
      </w:r>
      <w:proofErr w:type="spellEnd"/>
      <w:r w:rsidRPr="00D1021A">
        <w:rPr>
          <w:rFonts w:ascii="Poppins" w:hAnsi="Poppins" w:cs="Poppins"/>
        </w:rPr>
        <w:t xml:space="preserve"> (UN): „Bis 2030 für alle Menschen inklusive, chancengerechte und hochwertige </w:t>
      </w:r>
      <w:r w:rsidRPr="00D1021A">
        <w:rPr>
          <w:rFonts w:ascii="Poppins" w:hAnsi="Poppins" w:cs="Poppins"/>
        </w:rPr>
        <w:lastRenderedPageBreak/>
        <w:t>Bildung sicherstellen sowie Möglichkeiten zum lebenslangen Lernen fördern“ (UNESCO, 2023b).</w:t>
      </w:r>
    </w:p>
    <w:p w14:paraId="3FB793DF" w14:textId="77777777" w:rsidR="0040385C" w:rsidRPr="00D1021A" w:rsidRDefault="00046E90" w:rsidP="009B614E">
      <w:pPr>
        <w:pStyle w:val="berschrift3"/>
        <w:rPr>
          <w:rFonts w:ascii="Poppins" w:hAnsi="Poppins" w:cs="Poppins"/>
        </w:rPr>
      </w:pPr>
      <w:bookmarkStart w:id="24" w:name="_Toc177037298"/>
      <w:r w:rsidRPr="00D1021A">
        <w:rPr>
          <w:rFonts w:ascii="Poppins" w:hAnsi="Poppins" w:cs="Poppins"/>
        </w:rPr>
        <w:t>Offene Bildung</w:t>
      </w:r>
      <w:bookmarkEnd w:id="24"/>
    </w:p>
    <w:p w14:paraId="6C4DF318" w14:textId="70E5E08D" w:rsidR="0036682D" w:rsidRPr="00D1021A" w:rsidRDefault="00046E90" w:rsidP="00293B2C">
      <w:pPr>
        <w:pStyle w:val="Flietext"/>
        <w:jc w:val="left"/>
        <w:rPr>
          <w:rFonts w:ascii="Poppins" w:hAnsi="Poppins" w:cs="Poppins"/>
        </w:rPr>
      </w:pPr>
      <w:r w:rsidRPr="00D1021A">
        <w:rPr>
          <w:rFonts w:ascii="Poppins" w:hAnsi="Poppins" w:cs="Poppins"/>
        </w:rPr>
        <w:t xml:space="preserve">Die Frage der Offenheit erlangt in der Bildungslandschaft zunehmend Relevanz. </w:t>
      </w:r>
      <w:r w:rsidRPr="00D1021A">
        <w:rPr>
          <w:rFonts w:ascii="Poppins" w:hAnsi="Poppins" w:cs="Poppins"/>
          <w:szCs w:val="24"/>
        </w:rPr>
        <w:t xml:space="preserve">Dabei geht es nicht nur um Aspekte der Zugänglichkeit zu Bildungsmaterialien oder die Vernetzung von </w:t>
      </w:r>
      <w:r w:rsidR="009C6963" w:rsidRPr="00D1021A">
        <w:rPr>
          <w:rFonts w:ascii="Poppins" w:hAnsi="Poppins" w:cs="Poppins"/>
          <w:szCs w:val="24"/>
        </w:rPr>
        <w:t>Bildungsangeboten,</w:t>
      </w:r>
      <w:r w:rsidRPr="00D1021A">
        <w:rPr>
          <w:rFonts w:ascii="Poppins" w:hAnsi="Poppins" w:cs="Poppins"/>
          <w:szCs w:val="24"/>
        </w:rPr>
        <w:t xml:space="preserve"> sondern vielmehr „um die Möglichkeiten und Konditionen der Nutzung, Veränderung und Verbreitung von Bildungsmaterialien“ (</w:t>
      </w:r>
      <w:bookmarkStart w:id="25" w:name="_Hlk173422955"/>
      <w:r w:rsidRPr="00D1021A">
        <w:rPr>
          <w:rFonts w:ascii="Poppins" w:hAnsi="Poppins" w:cs="Poppins"/>
          <w:szCs w:val="24"/>
        </w:rPr>
        <w:t>Digel</w:t>
      </w:r>
      <w:r w:rsidR="009B1687" w:rsidRPr="00D1021A">
        <w:rPr>
          <w:rFonts w:ascii="Poppins" w:hAnsi="Poppins" w:cs="Poppins"/>
          <w:szCs w:val="24"/>
        </w:rPr>
        <w:t xml:space="preserve"> et al.</w:t>
      </w:r>
      <w:r w:rsidRPr="00D1021A">
        <w:rPr>
          <w:rFonts w:ascii="Poppins" w:hAnsi="Poppins" w:cs="Poppins"/>
          <w:szCs w:val="24"/>
        </w:rPr>
        <w:t xml:space="preserve"> 2022, S. 26</w:t>
      </w:r>
      <w:bookmarkEnd w:id="25"/>
      <w:r w:rsidRPr="00D1021A">
        <w:rPr>
          <w:rFonts w:ascii="Poppins" w:hAnsi="Poppins" w:cs="Poppins"/>
          <w:szCs w:val="24"/>
        </w:rPr>
        <w:t xml:space="preserve">). </w:t>
      </w:r>
      <w:r w:rsidR="00573AC4" w:rsidRPr="00D1021A">
        <w:rPr>
          <w:rFonts w:ascii="Poppins" w:hAnsi="Poppins" w:cs="Poppins"/>
          <w:szCs w:val="24"/>
        </w:rPr>
        <w:t xml:space="preserve">Die Bewegung der offenen Bildung hat einen komplexen historischen Hintergrund. </w:t>
      </w:r>
      <w:r w:rsidR="00573AC4" w:rsidRPr="00D1021A">
        <w:rPr>
          <w:rFonts w:ascii="Poppins" w:hAnsi="Poppins" w:cs="Poppins"/>
        </w:rPr>
        <w:t>Die Verpflichtung zur Offenheit kann als politisches und soziales Projekt bezeichnet werden und ist auf die Open-Source-Bewegung zurückzuführen, die Mitte der 1980er Jahre begann. Ihre Ursprünge sind jedoch viel äl</w:t>
      </w:r>
      <w:r w:rsidR="00293B2C" w:rsidRPr="00D1021A">
        <w:rPr>
          <w:rFonts w:ascii="Poppins" w:hAnsi="Poppins" w:cs="Poppins"/>
        </w:rPr>
        <w:t>t</w:t>
      </w:r>
      <w:r w:rsidR="00573AC4" w:rsidRPr="00D1021A">
        <w:rPr>
          <w:rFonts w:ascii="Poppins" w:hAnsi="Poppins" w:cs="Poppins"/>
        </w:rPr>
        <w:t>er und reichen bis zum Zeitalter der Aufklärung (</w:t>
      </w:r>
      <w:bookmarkStart w:id="26" w:name="_Hlk173422983"/>
      <w:r w:rsidR="00573AC4" w:rsidRPr="00D1021A">
        <w:rPr>
          <w:rFonts w:ascii="Poppins" w:hAnsi="Poppins" w:cs="Poppins"/>
        </w:rPr>
        <w:t>vgl. Peters, 2008, S. 7</w:t>
      </w:r>
      <w:bookmarkEnd w:id="26"/>
      <w:r w:rsidR="00573AC4" w:rsidRPr="00D1021A">
        <w:rPr>
          <w:rFonts w:ascii="Poppins" w:hAnsi="Poppins" w:cs="Poppins"/>
        </w:rPr>
        <w:t>).</w:t>
      </w:r>
    </w:p>
    <w:p w14:paraId="31369914" w14:textId="299DBA39" w:rsidR="00573AC4" w:rsidRPr="00D1021A" w:rsidRDefault="00573AC4" w:rsidP="00293B2C">
      <w:pPr>
        <w:pStyle w:val="Flietext"/>
        <w:jc w:val="left"/>
        <w:rPr>
          <w:rFonts w:ascii="Poppins" w:hAnsi="Poppins" w:cs="Poppins"/>
        </w:rPr>
      </w:pPr>
      <w:r w:rsidRPr="00D1021A">
        <w:rPr>
          <w:rFonts w:ascii="Poppins" w:hAnsi="Poppins" w:cs="Poppins"/>
          <w:szCs w:val="24"/>
        </w:rPr>
        <w:t>Ihre Zukunft ist nicht nur eng mit den Open-Source-, Open-Access- und Open-Publishing-Bewegungen verknüpft</w:t>
      </w:r>
      <w:r w:rsidR="00D55950" w:rsidRPr="00D1021A">
        <w:rPr>
          <w:rFonts w:ascii="Poppins" w:hAnsi="Poppins" w:cs="Poppins"/>
          <w:szCs w:val="24"/>
        </w:rPr>
        <w:t>,</w:t>
      </w:r>
      <w:r w:rsidRPr="00D1021A">
        <w:rPr>
          <w:rFonts w:ascii="Poppins" w:hAnsi="Poppins" w:cs="Poppins"/>
          <w:szCs w:val="24"/>
        </w:rPr>
        <w:t xml:space="preserve"> sondern auch mit dem Konzept der offenen Gesellschaft selbst (</w:t>
      </w:r>
      <w:bookmarkStart w:id="27" w:name="_Hlk173423066"/>
      <w:r w:rsidRPr="00D1021A">
        <w:rPr>
          <w:rFonts w:ascii="Poppins" w:hAnsi="Poppins" w:cs="Poppins"/>
          <w:szCs w:val="24"/>
        </w:rPr>
        <w:t xml:space="preserve">vgl. </w:t>
      </w:r>
      <w:r w:rsidR="0036682D" w:rsidRPr="00D1021A">
        <w:rPr>
          <w:rFonts w:ascii="Poppins" w:hAnsi="Poppins" w:cs="Poppins"/>
          <w:szCs w:val="24"/>
        </w:rPr>
        <w:t>ebd.</w:t>
      </w:r>
      <w:r w:rsidRPr="00D1021A">
        <w:rPr>
          <w:rFonts w:ascii="Poppins" w:hAnsi="Poppins" w:cs="Poppins"/>
          <w:szCs w:val="24"/>
        </w:rPr>
        <w:t>, S. 10</w:t>
      </w:r>
      <w:bookmarkEnd w:id="27"/>
      <w:r w:rsidRPr="00D1021A">
        <w:rPr>
          <w:rFonts w:ascii="Poppins" w:hAnsi="Poppins" w:cs="Poppins"/>
          <w:szCs w:val="24"/>
        </w:rPr>
        <w:t>)</w:t>
      </w:r>
      <w:r w:rsidR="00293B2C" w:rsidRPr="00D1021A">
        <w:rPr>
          <w:rFonts w:ascii="Poppins" w:hAnsi="Poppins" w:cs="Poppins"/>
          <w:szCs w:val="24"/>
        </w:rPr>
        <w:t>.</w:t>
      </w:r>
    </w:p>
    <w:p w14:paraId="3FDD4290" w14:textId="3E77B4A4" w:rsidR="0040385C" w:rsidRPr="00D1021A" w:rsidRDefault="00573AC4" w:rsidP="00E55947">
      <w:pPr>
        <w:spacing w:line="360" w:lineRule="auto"/>
        <w:rPr>
          <w:rFonts w:ascii="Poppins" w:hAnsi="Poppins" w:cs="Poppins"/>
          <w:sz w:val="24"/>
          <w:szCs w:val="24"/>
        </w:rPr>
      </w:pPr>
      <w:r w:rsidRPr="00D1021A">
        <w:rPr>
          <w:rFonts w:ascii="Poppins" w:hAnsi="Poppins" w:cs="Poppins"/>
          <w:sz w:val="24"/>
          <w:szCs w:val="24"/>
        </w:rPr>
        <w:t>Offene Bildung</w:t>
      </w:r>
      <w:r w:rsidR="00046E90" w:rsidRPr="00D1021A">
        <w:rPr>
          <w:rFonts w:ascii="Poppins" w:hAnsi="Poppins" w:cs="Poppins"/>
          <w:sz w:val="24"/>
          <w:szCs w:val="24"/>
        </w:rPr>
        <w:t xml:space="preserve"> benötigt nach Digel, Biel </w:t>
      </w:r>
      <w:r w:rsidR="00D55196" w:rsidRPr="00D1021A">
        <w:rPr>
          <w:rFonts w:ascii="Poppins" w:hAnsi="Poppins" w:cs="Poppins"/>
          <w:sz w:val="24"/>
          <w:szCs w:val="24"/>
        </w:rPr>
        <w:t>und</w:t>
      </w:r>
      <w:r w:rsidR="00046E90" w:rsidRPr="00D1021A">
        <w:rPr>
          <w:rFonts w:ascii="Poppins" w:hAnsi="Poppins" w:cs="Poppins"/>
          <w:sz w:val="24"/>
          <w:szCs w:val="24"/>
        </w:rPr>
        <w:t xml:space="preserve"> Kilian ein Umdenken in der Bildungslandschaft, weg von starren Strukturen und hin zu einem von Flexibilität und Innovation geprägten Mindset (</w:t>
      </w:r>
      <w:r w:rsidR="00293B2C" w:rsidRPr="00D1021A">
        <w:rPr>
          <w:rFonts w:ascii="Poppins" w:hAnsi="Poppins" w:cs="Poppins"/>
          <w:sz w:val="24"/>
          <w:szCs w:val="24"/>
        </w:rPr>
        <w:t>Digel et al. 2022, S. 26</w:t>
      </w:r>
      <w:r w:rsidR="00046E90" w:rsidRPr="00D1021A">
        <w:rPr>
          <w:rFonts w:ascii="Poppins" w:hAnsi="Poppins" w:cs="Poppins"/>
          <w:sz w:val="24"/>
          <w:szCs w:val="24"/>
        </w:rPr>
        <w:t xml:space="preserve">). Ziel offener Bildung ist die Etablierung einer Open Educational Practice (OEP), also einer Kultur des Teilens und des Austausches, in der innovative didaktische Konzepte für offene Lehr- Lernmaterialien und -praktiken </w:t>
      </w:r>
      <w:r w:rsidR="00046E90" w:rsidRPr="00D1021A">
        <w:rPr>
          <w:rFonts w:ascii="Poppins" w:hAnsi="Poppins" w:cs="Poppins"/>
          <w:sz w:val="24"/>
          <w:szCs w:val="24"/>
        </w:rPr>
        <w:lastRenderedPageBreak/>
        <w:t>konzipiert werden, die auch hinsichtlich der Zugänglichkeit, Inklusion und Partizipationsmöglichkeiten gefördert werden (</w:t>
      </w:r>
      <w:bookmarkStart w:id="28" w:name="_Hlk173423302"/>
      <w:r w:rsidR="00046E90" w:rsidRPr="00D1021A">
        <w:rPr>
          <w:rFonts w:ascii="Poppins" w:hAnsi="Poppins" w:cs="Poppins"/>
          <w:sz w:val="24"/>
          <w:szCs w:val="24"/>
        </w:rPr>
        <w:t>vgl. Grimm, 2023, o. S.).</w:t>
      </w:r>
    </w:p>
    <w:bookmarkEnd w:id="28"/>
    <w:p w14:paraId="264F653B" w14:textId="6EC0FE32" w:rsidR="0040385C" w:rsidRPr="00D1021A" w:rsidRDefault="00046E90" w:rsidP="00E55947">
      <w:pPr>
        <w:pStyle w:val="Flietext"/>
        <w:jc w:val="left"/>
        <w:rPr>
          <w:rFonts w:ascii="Poppins" w:hAnsi="Poppins" w:cs="Poppins"/>
        </w:rPr>
      </w:pPr>
      <w:r w:rsidRPr="00D1021A">
        <w:rPr>
          <w:rFonts w:ascii="Poppins" w:hAnsi="Poppins" w:cs="Poppins"/>
        </w:rPr>
        <w:t xml:space="preserve">„Offen zu sein ist eine grundlegende Voraussetzung von Bildung: für neues Wissen, das den Blick auf die Welt neu formt, für neue Erfahrungen, die das Handeln in ihr verändert. In einer demokratischen, einer offenen Gesellschaft, sollte auch Bildung selbst offen sein: für alle erreichbar, offen für unterschiedliche Lebenswelten und für unterschiedliche Zugänge zu Wissen, offen für Veränderung und für Mitbestimmung“ </w:t>
      </w:r>
      <w:bookmarkStart w:id="29" w:name="_Hlk173423359"/>
      <w:r w:rsidRPr="00D1021A">
        <w:rPr>
          <w:rFonts w:ascii="Poppins" w:hAnsi="Poppins" w:cs="Poppins"/>
        </w:rPr>
        <w:t>(Schrader &amp; Brandt, 2022, S. 17</w:t>
      </w:r>
      <w:bookmarkEnd w:id="29"/>
      <w:r w:rsidRPr="00D1021A">
        <w:rPr>
          <w:rFonts w:ascii="Poppins" w:hAnsi="Poppins" w:cs="Poppins"/>
        </w:rPr>
        <w:t>).</w:t>
      </w:r>
    </w:p>
    <w:p w14:paraId="4A9D8474" w14:textId="77777777" w:rsidR="0040385C" w:rsidRPr="00D1021A" w:rsidRDefault="00046E90" w:rsidP="009B614E">
      <w:pPr>
        <w:pStyle w:val="berschrift3"/>
        <w:rPr>
          <w:rFonts w:ascii="Poppins" w:hAnsi="Poppins" w:cs="Poppins"/>
        </w:rPr>
      </w:pPr>
      <w:bookmarkStart w:id="30" w:name="_Toc177037299"/>
      <w:r w:rsidRPr="00D1021A">
        <w:rPr>
          <w:rFonts w:ascii="Poppins" w:hAnsi="Poppins" w:cs="Poppins"/>
        </w:rPr>
        <w:t>Qualitätsmanagement an Hochschulen</w:t>
      </w:r>
      <w:bookmarkEnd w:id="30"/>
    </w:p>
    <w:p w14:paraId="17EF3826" w14:textId="6F15F219" w:rsidR="0040385C" w:rsidRPr="00D1021A" w:rsidRDefault="00046E90" w:rsidP="00E55947">
      <w:pPr>
        <w:pStyle w:val="Flietext"/>
        <w:jc w:val="left"/>
        <w:rPr>
          <w:rFonts w:ascii="Poppins" w:hAnsi="Poppins" w:cs="Poppins"/>
          <w:lang w:eastAsia="de-DE"/>
        </w:rPr>
      </w:pPr>
      <w:r w:rsidRPr="00D1021A">
        <w:rPr>
          <w:rFonts w:ascii="Poppins" w:hAnsi="Poppins" w:cs="Poppins"/>
          <w:lang w:eastAsia="de-DE"/>
        </w:rPr>
        <w:t xml:space="preserve">„Kunst und Wissenschaft, Forschung und Lehre sind frei. Die Freiheit der Lehre entbindet nicht von der Treue zur Verfassung“ (Art. 5 Abs. 3 </w:t>
      </w:r>
      <w:r w:rsidR="00FF6DD7" w:rsidRPr="00D1021A">
        <w:rPr>
          <w:rFonts w:ascii="Poppins" w:hAnsi="Poppins" w:cs="Poppins"/>
          <w:lang w:eastAsia="de-DE"/>
        </w:rPr>
        <w:t>Grundgesetz (GG)</w:t>
      </w:r>
      <w:r w:rsidRPr="00D1021A">
        <w:rPr>
          <w:rFonts w:ascii="Poppins" w:hAnsi="Poppins" w:cs="Poppins"/>
          <w:lang w:eastAsia="de-DE"/>
        </w:rPr>
        <w:t>). Dieses Grundrecht ist wie viele andere Grundrechte seit 1949 unverändert (</w:t>
      </w:r>
      <w:bookmarkStart w:id="31" w:name="_Hlk173423437"/>
      <w:r w:rsidRPr="00D1021A">
        <w:rPr>
          <w:rFonts w:ascii="Poppins" w:hAnsi="Poppins" w:cs="Poppins"/>
          <w:lang w:eastAsia="de-DE"/>
        </w:rPr>
        <w:t>vgl. Speiser, 2022, S. 61</w:t>
      </w:r>
      <w:bookmarkEnd w:id="31"/>
      <w:r w:rsidRPr="00D1021A">
        <w:rPr>
          <w:rFonts w:ascii="Poppins" w:hAnsi="Poppins" w:cs="Poppins"/>
          <w:lang w:eastAsia="de-DE"/>
        </w:rPr>
        <w:t xml:space="preserve">). Hochschulen jedoch haben eine viel längere Tradition. Sie </w:t>
      </w:r>
      <w:r w:rsidRPr="00D1021A">
        <w:rPr>
          <w:rFonts w:ascii="Poppins" w:hAnsi="Poppins" w:cs="Poppins"/>
        </w:rPr>
        <w:t xml:space="preserve">„dienen seit über 800 Jahren ihrer Bestimmung, Wissen zu generieren, zu vermitteln und zu bewahren“ </w:t>
      </w:r>
      <w:r w:rsidRPr="00D1021A">
        <w:rPr>
          <w:rFonts w:ascii="Poppins" w:hAnsi="Poppins" w:cs="Poppins"/>
          <w:lang w:eastAsia="de-DE"/>
        </w:rPr>
        <w:t>(DGQ, 2015, S. 8). Doch trotz ihrer Beständigkeit müssen sich auch Hochschulen dem stetigen Wandel anpassen.</w:t>
      </w:r>
    </w:p>
    <w:p w14:paraId="4F49D3C2" w14:textId="279A64EE" w:rsidR="0040385C" w:rsidRPr="00D1021A" w:rsidRDefault="00046E90" w:rsidP="00E55947">
      <w:pPr>
        <w:pStyle w:val="Flietext"/>
        <w:jc w:val="left"/>
        <w:rPr>
          <w:rFonts w:ascii="Poppins" w:hAnsi="Poppins" w:cs="Poppins"/>
          <w:lang w:eastAsia="de-DE"/>
        </w:rPr>
      </w:pPr>
      <w:r w:rsidRPr="00D1021A">
        <w:rPr>
          <w:rFonts w:ascii="Poppins" w:hAnsi="Poppins" w:cs="Poppins"/>
          <w:lang w:eastAsia="de-DE"/>
        </w:rPr>
        <w:t xml:space="preserve">Hochschulen sind bei der Erfüllung dieser Aufgaben auf staatliche Ressourcen angewiesen. Hier zeigt sich seit einigen Jahren eine Verknappung der Ressourcen bzw. eine Wettbewerbssituation zwischen den Hochschulen (DGQ, 2015, S. 8 f.). Diese und weitere z. B. strukturelle Veränderungen, die auch zu Veränderungen in anderen Bereichen des </w:t>
      </w:r>
      <w:r w:rsidRPr="00D1021A">
        <w:rPr>
          <w:rFonts w:ascii="Poppins" w:hAnsi="Poppins" w:cs="Poppins"/>
          <w:lang w:eastAsia="de-DE"/>
        </w:rPr>
        <w:lastRenderedPageBreak/>
        <w:t>öffentlichen Sektors geführt haben, können unter dem Begriff New Public Management zusammengefasst werden (vgl. Meier &amp; Schimank, 2009, S. 42 f.</w:t>
      </w:r>
      <w:r w:rsidR="008F429D" w:rsidRPr="00D1021A">
        <w:rPr>
          <w:rFonts w:ascii="Poppins" w:hAnsi="Poppins" w:cs="Poppins"/>
          <w:lang w:eastAsia="de-DE"/>
        </w:rPr>
        <w:t xml:space="preserve"> / Neumann, 2024, S. 245</w:t>
      </w:r>
      <w:r w:rsidRPr="00D1021A">
        <w:rPr>
          <w:rFonts w:ascii="Poppins" w:hAnsi="Poppins" w:cs="Poppins"/>
          <w:lang w:eastAsia="de-DE"/>
        </w:rPr>
        <w:t>). Diese Entwicklungen und daraus resultierenden Anforderungen führ</w:t>
      </w:r>
      <w:r w:rsidR="00762D03" w:rsidRPr="00D1021A">
        <w:rPr>
          <w:rFonts w:ascii="Poppins" w:hAnsi="Poppins" w:cs="Poppins"/>
          <w:lang w:eastAsia="de-DE"/>
        </w:rPr>
        <w:t>t</w:t>
      </w:r>
      <w:r w:rsidRPr="00D1021A">
        <w:rPr>
          <w:rFonts w:ascii="Poppins" w:hAnsi="Poppins" w:cs="Poppins"/>
          <w:lang w:eastAsia="de-DE"/>
        </w:rPr>
        <w:t>en zu einer Implementierung von Q</w:t>
      </w:r>
      <w:r w:rsidR="00FB5548" w:rsidRPr="00D1021A">
        <w:rPr>
          <w:rFonts w:ascii="Poppins" w:hAnsi="Poppins" w:cs="Poppins"/>
          <w:lang w:eastAsia="de-DE"/>
        </w:rPr>
        <w:t>ualitätsmanagements</w:t>
      </w:r>
      <w:r w:rsidRPr="00D1021A">
        <w:rPr>
          <w:rFonts w:ascii="Poppins" w:hAnsi="Poppins" w:cs="Poppins"/>
          <w:lang w:eastAsia="de-DE"/>
        </w:rPr>
        <w:t>ystemen an Hochschulen (vgl. DGQ, 2015, S. 9). Dabei darf nicht vergessen werden, dass Hochschulen eine besondere Organisation</w:t>
      </w:r>
      <w:r w:rsidR="00FF6DD7" w:rsidRPr="00D1021A">
        <w:rPr>
          <w:rFonts w:ascii="Poppins" w:hAnsi="Poppins" w:cs="Poppins"/>
          <w:lang w:eastAsia="de-DE"/>
        </w:rPr>
        <w:t>s</w:t>
      </w:r>
      <w:r w:rsidRPr="00D1021A">
        <w:rPr>
          <w:rFonts w:ascii="Poppins" w:hAnsi="Poppins" w:cs="Poppins"/>
          <w:lang w:eastAsia="de-DE"/>
        </w:rPr>
        <w:t>form darstellen. „Die Hochschulgesetzgebung der letzten Jahre intendiert Organisationsformen, die den typischen Formen der Wirtschaft angeglichen sind, ohne dass das intrainstitutionelle Bewusstsein entsprechend ausgerichtet ist. In den Hochschulen lebt eine für die Wissenschaftsfreiheit typische institutionelle Kultur weiter fort, die an bedarfsorientierte Zuweisung von Haushaltsmitteln gewöhnt war und Effizienzkontrollen schnell als unsachgemäße Eingriffe in die Freiheit von Forschung und Lehre versteht" (ebd.).</w:t>
      </w:r>
    </w:p>
    <w:p w14:paraId="5E4D9E07" w14:textId="5800174B" w:rsidR="0040385C" w:rsidRPr="00D1021A" w:rsidRDefault="00046E90" w:rsidP="00E55947">
      <w:pPr>
        <w:pStyle w:val="Flietext"/>
        <w:jc w:val="left"/>
        <w:rPr>
          <w:rFonts w:ascii="Poppins" w:hAnsi="Poppins" w:cs="Poppins"/>
          <w:lang w:eastAsia="de-DE"/>
        </w:rPr>
      </w:pPr>
      <w:r w:rsidRPr="00D1021A">
        <w:rPr>
          <w:rFonts w:ascii="Poppins" w:hAnsi="Poppins" w:cs="Poppins"/>
          <w:lang w:eastAsia="de-DE"/>
        </w:rPr>
        <w:t xml:space="preserve">Inzwischen hat sich </w:t>
      </w:r>
      <w:r w:rsidR="00FB5548" w:rsidRPr="00D1021A">
        <w:rPr>
          <w:rFonts w:ascii="Poppins" w:hAnsi="Poppins" w:cs="Poppins"/>
          <w:lang w:eastAsia="de-DE"/>
        </w:rPr>
        <w:t>Q</w:t>
      </w:r>
      <w:r w:rsidR="0036682D" w:rsidRPr="00D1021A">
        <w:rPr>
          <w:rFonts w:ascii="Poppins" w:hAnsi="Poppins" w:cs="Poppins"/>
          <w:lang w:eastAsia="de-DE"/>
        </w:rPr>
        <w:t xml:space="preserve">M </w:t>
      </w:r>
      <w:r w:rsidRPr="00D1021A">
        <w:rPr>
          <w:rFonts w:ascii="Poppins" w:hAnsi="Poppins" w:cs="Poppins"/>
          <w:lang w:eastAsia="de-DE"/>
        </w:rPr>
        <w:t xml:space="preserve">an Hochschulen etabliert. Allerdings ist fraglich, wie es um die Anpassung und Weiterentwicklung von QMS im universitären Kontext </w:t>
      </w:r>
      <w:r w:rsidR="00303D31" w:rsidRPr="00D1021A">
        <w:rPr>
          <w:rFonts w:ascii="Poppins" w:hAnsi="Poppins" w:cs="Poppins"/>
          <w:lang w:eastAsia="de-DE"/>
        </w:rPr>
        <w:t>b</w:t>
      </w:r>
      <w:r w:rsidRPr="00D1021A">
        <w:rPr>
          <w:rFonts w:ascii="Poppins" w:hAnsi="Poppins" w:cs="Poppins"/>
          <w:lang w:eastAsia="de-DE"/>
        </w:rPr>
        <w:t xml:space="preserve">estellt ist. Auch hier stellt sich wieder die Ressourcenfrage. Denn bestehende QM-Lösungen müssen stetig weiterentwickelt und an die aktuellen Bedingungen angepasst werden (vgl. </w:t>
      </w:r>
      <w:bookmarkStart w:id="32" w:name="_Hlk173857209"/>
      <w:r w:rsidRPr="00D1021A">
        <w:rPr>
          <w:rFonts w:ascii="Poppins" w:hAnsi="Poppins" w:cs="Poppins"/>
          <w:lang w:eastAsia="de-DE"/>
        </w:rPr>
        <w:t>Thom &amp; Meier, 2018</w:t>
      </w:r>
      <w:bookmarkEnd w:id="32"/>
      <w:r w:rsidRPr="00D1021A">
        <w:rPr>
          <w:rFonts w:ascii="Poppins" w:hAnsi="Poppins" w:cs="Poppins"/>
          <w:lang w:eastAsia="de-DE"/>
        </w:rPr>
        <w:t xml:space="preserve">). </w:t>
      </w:r>
      <w:r w:rsidR="00303D31" w:rsidRPr="00D1021A">
        <w:rPr>
          <w:rFonts w:ascii="Poppins" w:hAnsi="Poppins" w:cs="Poppins"/>
          <w:lang w:eastAsia="de-DE"/>
        </w:rPr>
        <w:t>N</w:t>
      </w:r>
      <w:r w:rsidRPr="00D1021A">
        <w:rPr>
          <w:rFonts w:ascii="Poppins" w:hAnsi="Poppins" w:cs="Poppins"/>
          <w:lang w:eastAsia="de-DE"/>
        </w:rPr>
        <w:t xml:space="preserve">eue Herausforderungen für Hochschulen und ihr QM </w:t>
      </w:r>
      <w:r w:rsidR="00303D31" w:rsidRPr="00D1021A">
        <w:rPr>
          <w:rFonts w:ascii="Poppins" w:hAnsi="Poppins" w:cs="Poppins"/>
          <w:lang w:eastAsia="de-DE"/>
        </w:rPr>
        <w:t xml:space="preserve">sind </w:t>
      </w:r>
      <w:r w:rsidRPr="00D1021A">
        <w:rPr>
          <w:rFonts w:ascii="Poppins" w:hAnsi="Poppins" w:cs="Poppins"/>
          <w:lang w:eastAsia="de-DE"/>
        </w:rPr>
        <w:t>auszumachen, „wie etwa die Frage nach der Bewältigung steigender studentischer Heterogenität, eine stärkere internationale Ausrichtung, die Nutzung digitaler Lehr-/Lernmedien sowie die Erweiterung des Aufgabenspektrums von Hochschullehre im Kontext sich verändernder, gesellschaftlicher Qualifikationserwartungen“ (</w:t>
      </w:r>
      <w:bookmarkStart w:id="33" w:name="_Hlk173857231"/>
      <w:r w:rsidRPr="00D1021A">
        <w:rPr>
          <w:rFonts w:ascii="Poppins" w:hAnsi="Poppins" w:cs="Poppins"/>
          <w:lang w:eastAsia="de-DE"/>
        </w:rPr>
        <w:t xml:space="preserve">Mitterauer </w:t>
      </w:r>
      <w:r w:rsidRPr="00D1021A">
        <w:rPr>
          <w:rFonts w:ascii="Poppins" w:hAnsi="Poppins" w:cs="Poppins"/>
          <w:lang w:eastAsia="de-DE"/>
        </w:rPr>
        <w:lastRenderedPageBreak/>
        <w:t>et al., 2019, S. 7</w:t>
      </w:r>
      <w:bookmarkEnd w:id="33"/>
      <w:r w:rsidRPr="00D1021A">
        <w:rPr>
          <w:rFonts w:ascii="Poppins" w:hAnsi="Poppins" w:cs="Poppins"/>
          <w:lang w:eastAsia="de-DE"/>
        </w:rPr>
        <w:t xml:space="preserve">). </w:t>
      </w:r>
      <w:r w:rsidRPr="001E7009">
        <w:rPr>
          <w:rFonts w:ascii="Poppins" w:hAnsi="Poppins" w:cs="Poppins"/>
          <w:lang w:eastAsia="de-DE"/>
        </w:rPr>
        <w:t>OER können hier als ein Baustein zur Bewältigung dienen</w:t>
      </w:r>
      <w:r w:rsidR="00D86697" w:rsidRPr="001E7009">
        <w:rPr>
          <w:rFonts w:ascii="Poppins" w:hAnsi="Poppins" w:cs="Poppins"/>
          <w:lang w:eastAsia="de-DE"/>
        </w:rPr>
        <w:t xml:space="preserve">, wie im Besonderen das Kapitel </w:t>
      </w:r>
      <w:r w:rsidR="00DA1F8B" w:rsidRPr="001E7009">
        <w:rPr>
          <w:rFonts w:ascii="Poppins" w:hAnsi="Poppins" w:cs="Poppins"/>
          <w:lang w:eastAsia="de-DE"/>
        </w:rPr>
        <w:t>3.4</w:t>
      </w:r>
      <w:r w:rsidR="00D86697" w:rsidRPr="001E7009">
        <w:rPr>
          <w:rFonts w:ascii="Poppins" w:hAnsi="Poppins" w:cs="Poppins"/>
          <w:lang w:eastAsia="de-DE"/>
        </w:rPr>
        <w:t xml:space="preserve"> „Mehrwert von OER“ (S. </w:t>
      </w:r>
      <w:r w:rsidR="00C96425" w:rsidRPr="001E7009">
        <w:rPr>
          <w:rFonts w:ascii="Poppins" w:hAnsi="Poppins" w:cs="Poppins"/>
          <w:lang w:eastAsia="de-DE"/>
        </w:rPr>
        <w:t>20</w:t>
      </w:r>
      <w:r w:rsidR="00D86697" w:rsidRPr="001E7009">
        <w:rPr>
          <w:rFonts w:ascii="Poppins" w:hAnsi="Poppins" w:cs="Poppins"/>
          <w:lang w:eastAsia="de-DE"/>
        </w:rPr>
        <w:t>)</w:t>
      </w:r>
      <w:r w:rsidR="001E7009" w:rsidRPr="001E7009">
        <w:rPr>
          <w:rFonts w:ascii="Poppins" w:hAnsi="Poppins" w:cs="Poppins"/>
          <w:lang w:eastAsia="de-DE"/>
        </w:rPr>
        <w:t xml:space="preserve"> </w:t>
      </w:r>
      <w:r w:rsidR="00D86697" w:rsidRPr="001E7009">
        <w:rPr>
          <w:rFonts w:ascii="Poppins" w:hAnsi="Poppins" w:cs="Poppins"/>
          <w:lang w:eastAsia="de-DE"/>
        </w:rPr>
        <w:t>verdeutlichen wird.</w:t>
      </w:r>
    </w:p>
    <w:p w14:paraId="582C312D" w14:textId="0C3ABFB9" w:rsidR="0040385C" w:rsidRPr="00D1021A" w:rsidRDefault="00046E90" w:rsidP="009B614E">
      <w:pPr>
        <w:pStyle w:val="berschrift3"/>
        <w:rPr>
          <w:rFonts w:ascii="Poppins" w:hAnsi="Poppins" w:cs="Poppins"/>
          <w:bCs/>
        </w:rPr>
      </w:pPr>
      <w:bookmarkStart w:id="34" w:name="_Toc177037300"/>
      <w:r w:rsidRPr="00D1021A">
        <w:rPr>
          <w:rFonts w:ascii="Poppins" w:hAnsi="Poppins" w:cs="Poppins"/>
        </w:rPr>
        <w:t xml:space="preserve">Qualität von </w:t>
      </w:r>
      <w:r w:rsidR="00CC13AA" w:rsidRPr="00D1021A">
        <w:rPr>
          <w:rFonts w:ascii="Poppins" w:hAnsi="Poppins" w:cs="Poppins"/>
        </w:rPr>
        <w:t>Lehr-/</w:t>
      </w:r>
      <w:r w:rsidRPr="00D1021A">
        <w:rPr>
          <w:rFonts w:ascii="Poppins" w:hAnsi="Poppins" w:cs="Poppins"/>
        </w:rPr>
        <w:t>Lernressourcen</w:t>
      </w:r>
      <w:bookmarkEnd w:id="34"/>
    </w:p>
    <w:p w14:paraId="711DA410" w14:textId="06A801EA" w:rsidR="00AF5758" w:rsidRPr="00D1021A" w:rsidRDefault="00046E90" w:rsidP="00E55947">
      <w:pPr>
        <w:pStyle w:val="Flietext"/>
        <w:jc w:val="left"/>
        <w:rPr>
          <w:rFonts w:ascii="Poppins" w:hAnsi="Poppins" w:cs="Poppins"/>
        </w:rPr>
      </w:pPr>
      <w:r w:rsidRPr="00D1021A">
        <w:rPr>
          <w:rFonts w:ascii="Poppins" w:hAnsi="Poppins" w:cs="Poppins"/>
          <w:szCs w:val="24"/>
        </w:rPr>
        <w:t>Die vielen verschiedenen Aufgaben, die bei der „Festlegung der Qualität“</w:t>
      </w:r>
      <w:r w:rsidR="00303D31" w:rsidRPr="00D1021A">
        <w:rPr>
          <w:rFonts w:ascii="Poppins" w:hAnsi="Poppins" w:cs="Poppins"/>
          <w:szCs w:val="24"/>
        </w:rPr>
        <w:t xml:space="preserve"> von Bildung</w:t>
      </w:r>
      <w:r w:rsidRPr="00D1021A">
        <w:rPr>
          <w:rFonts w:ascii="Poppins" w:hAnsi="Poppins" w:cs="Poppins"/>
          <w:szCs w:val="24"/>
        </w:rPr>
        <w:t xml:space="preserve"> – zumindest für den aktuellen Zeitpunkt –</w:t>
      </w:r>
      <w:r w:rsidR="00C7718C" w:rsidRPr="00D1021A">
        <w:rPr>
          <w:rFonts w:ascii="Poppins" w:hAnsi="Poppins" w:cs="Poppins"/>
          <w:szCs w:val="24"/>
        </w:rPr>
        <w:t xml:space="preserve"> </w:t>
      </w:r>
      <w:r w:rsidRPr="00D1021A">
        <w:rPr>
          <w:rFonts w:ascii="Poppins" w:hAnsi="Poppins" w:cs="Poppins"/>
          <w:szCs w:val="24"/>
        </w:rPr>
        <w:t>beachtet werden müssen, gelten dementsprechend auch für die Qualität von Lernressourcen und daher auch für die Qualität von OER. Die Komplexität zeigt sich schon an den zu beachtenden Personengruppen</w:t>
      </w:r>
      <w:r w:rsidR="00303D31" w:rsidRPr="00D1021A">
        <w:rPr>
          <w:rFonts w:ascii="Poppins" w:hAnsi="Poppins" w:cs="Poppins"/>
          <w:szCs w:val="24"/>
        </w:rPr>
        <w:t xml:space="preserve">; dies </w:t>
      </w:r>
      <w:r w:rsidRPr="00D1021A">
        <w:rPr>
          <w:rFonts w:ascii="Poppins" w:hAnsi="Poppins" w:cs="Poppins"/>
          <w:szCs w:val="24"/>
        </w:rPr>
        <w:t>sind für die Hochschulbildung z. B.</w:t>
      </w:r>
      <w:r w:rsidRPr="00D1021A">
        <w:rPr>
          <w:rFonts w:ascii="Poppins" w:hAnsi="Poppins" w:cs="Poppins"/>
        </w:rPr>
        <w:t xml:space="preserve"> die Studierenden</w:t>
      </w:r>
      <w:r w:rsidR="00D86697" w:rsidRPr="00D1021A">
        <w:rPr>
          <w:rFonts w:ascii="Poppins" w:hAnsi="Poppins" w:cs="Poppins"/>
        </w:rPr>
        <w:t xml:space="preserve"> und </w:t>
      </w:r>
      <w:r w:rsidRPr="00D1021A">
        <w:rPr>
          <w:rFonts w:ascii="Poppins" w:hAnsi="Poppins" w:cs="Poppins"/>
        </w:rPr>
        <w:t>Lernenden</w:t>
      </w:r>
      <w:r w:rsidR="00D86697" w:rsidRPr="00D1021A">
        <w:rPr>
          <w:rFonts w:ascii="Poppins" w:hAnsi="Poppins" w:cs="Poppins"/>
        </w:rPr>
        <w:t xml:space="preserve"> der</w:t>
      </w:r>
      <w:r w:rsidRPr="00D1021A">
        <w:rPr>
          <w:rFonts w:ascii="Poppins" w:hAnsi="Poppins" w:cs="Poppins"/>
        </w:rPr>
        <w:t xml:space="preserve"> verschiedenen Fachkulturen, </w:t>
      </w:r>
      <w:r w:rsidR="00303D31" w:rsidRPr="00D1021A">
        <w:rPr>
          <w:rFonts w:ascii="Poppins" w:hAnsi="Poppins" w:cs="Poppins"/>
        </w:rPr>
        <w:t xml:space="preserve">die </w:t>
      </w:r>
      <w:r w:rsidRPr="00D1021A">
        <w:rPr>
          <w:rFonts w:ascii="Poppins" w:hAnsi="Poppins" w:cs="Poppins"/>
        </w:rPr>
        <w:t>Hochschulleitung</w:t>
      </w:r>
      <w:r w:rsidR="00D86697" w:rsidRPr="00D1021A">
        <w:rPr>
          <w:rFonts w:ascii="Poppins" w:hAnsi="Poppins" w:cs="Poppins"/>
        </w:rPr>
        <w:t>, die Politik</w:t>
      </w:r>
      <w:r w:rsidRPr="00D1021A">
        <w:rPr>
          <w:rFonts w:ascii="Poppins" w:hAnsi="Poppins" w:cs="Poppins"/>
        </w:rPr>
        <w:t xml:space="preserve"> und viele </w:t>
      </w:r>
      <w:r w:rsidR="00303D31" w:rsidRPr="00D1021A">
        <w:rPr>
          <w:rFonts w:ascii="Poppins" w:hAnsi="Poppins" w:cs="Poppins"/>
        </w:rPr>
        <w:t>weitere</w:t>
      </w:r>
      <w:r w:rsidRPr="00D1021A">
        <w:rPr>
          <w:rFonts w:ascii="Poppins" w:hAnsi="Poppins" w:cs="Poppins"/>
        </w:rPr>
        <w:t xml:space="preserve">. Das heißt, der Bildungsbereich ist ein besonderes Feld, indem es nicht nur um den Kundenwunsch (den Lernenden) gehen kann (vgl. </w:t>
      </w:r>
      <w:bookmarkStart w:id="35" w:name="_Hlk173857834"/>
      <w:proofErr w:type="spellStart"/>
      <w:r w:rsidRPr="00D1021A">
        <w:rPr>
          <w:rFonts w:ascii="Poppins" w:hAnsi="Poppins" w:cs="Poppins"/>
        </w:rPr>
        <w:t>Zawacki</w:t>
      </w:r>
      <w:proofErr w:type="spellEnd"/>
      <w:r w:rsidRPr="00D1021A">
        <w:rPr>
          <w:rFonts w:ascii="Poppins" w:hAnsi="Poppins" w:cs="Poppins"/>
        </w:rPr>
        <w:t xml:space="preserve">-Richter &amp; </w:t>
      </w:r>
      <w:proofErr w:type="spellStart"/>
      <w:r w:rsidRPr="00D1021A">
        <w:rPr>
          <w:rFonts w:ascii="Poppins" w:hAnsi="Poppins" w:cs="Poppins"/>
        </w:rPr>
        <w:t>Mayrberger</w:t>
      </w:r>
      <w:proofErr w:type="spellEnd"/>
      <w:r w:rsidRPr="00D1021A">
        <w:rPr>
          <w:rFonts w:ascii="Poppins" w:hAnsi="Poppins" w:cs="Poppins"/>
        </w:rPr>
        <w:t>, 2017, S. 8 f.</w:t>
      </w:r>
      <w:bookmarkEnd w:id="35"/>
      <w:r w:rsidRPr="00D1021A">
        <w:rPr>
          <w:rFonts w:ascii="Poppins" w:hAnsi="Poppins" w:cs="Poppins"/>
        </w:rPr>
        <w:t xml:space="preserve">). Aus diesem Grund lässt sich der Qualitätsbegriff in der Bildung nur schwer fassen und </w:t>
      </w:r>
      <w:r w:rsidR="00D86697" w:rsidRPr="00D1021A">
        <w:rPr>
          <w:rFonts w:ascii="Poppins" w:hAnsi="Poppins" w:cs="Poppins"/>
        </w:rPr>
        <w:t xml:space="preserve">ist </w:t>
      </w:r>
      <w:r w:rsidRPr="00D1021A">
        <w:rPr>
          <w:rFonts w:ascii="Poppins" w:hAnsi="Poppins" w:cs="Poppins"/>
        </w:rPr>
        <w:t>immer multidimensional zu bewerten, was auch für die Qualität einer Lernressource gilt (</w:t>
      </w:r>
      <w:bookmarkStart w:id="36" w:name="_Hlk173857865"/>
      <w:r w:rsidRPr="00D1021A">
        <w:rPr>
          <w:rFonts w:ascii="Poppins" w:hAnsi="Poppins" w:cs="Poppins"/>
        </w:rPr>
        <w:t>vgl. Brückner, 2018, S. 52</w:t>
      </w:r>
      <w:bookmarkEnd w:id="36"/>
      <w:r w:rsidRPr="00D1021A">
        <w:rPr>
          <w:rFonts w:ascii="Poppins" w:hAnsi="Poppins" w:cs="Poppins"/>
        </w:rPr>
        <w:t>). Genauso wie der Bildungsbegriff sich in einem ständigen Wandel befindet, werden sich durch den gesellschaftlichen Wandel auch immer die Anforderungen an Lernressourcen verändern.</w:t>
      </w:r>
      <w:r w:rsidR="00AF5758" w:rsidRPr="00D1021A">
        <w:rPr>
          <w:rFonts w:ascii="Poppins" w:hAnsi="Poppins" w:cs="Poppins"/>
        </w:rPr>
        <w:t xml:space="preserve"> Lernressourcen müssen </w:t>
      </w:r>
      <w:r w:rsidR="00EC728F" w:rsidRPr="00D1021A">
        <w:rPr>
          <w:rFonts w:ascii="Poppins" w:hAnsi="Poppins" w:cs="Poppins"/>
        </w:rPr>
        <w:t>kontinuierlich</w:t>
      </w:r>
      <w:r w:rsidR="00AF5758" w:rsidRPr="00D1021A">
        <w:rPr>
          <w:rFonts w:ascii="Poppins" w:hAnsi="Poppins" w:cs="Poppins"/>
        </w:rPr>
        <w:t xml:space="preserve"> </w:t>
      </w:r>
      <w:r w:rsidR="00303D31" w:rsidRPr="00D1021A">
        <w:rPr>
          <w:rFonts w:ascii="Poppins" w:hAnsi="Poppins" w:cs="Poppins"/>
        </w:rPr>
        <w:t xml:space="preserve">an </w:t>
      </w:r>
      <w:r w:rsidR="00AF5758" w:rsidRPr="00D1021A">
        <w:rPr>
          <w:rFonts w:ascii="Poppins" w:hAnsi="Poppins" w:cs="Poppins"/>
        </w:rPr>
        <w:t>diese neuen Anforderungen angepasst und verbessert werden</w:t>
      </w:r>
      <w:r w:rsidR="00EC728F" w:rsidRPr="00D1021A">
        <w:rPr>
          <w:rFonts w:ascii="Poppins" w:hAnsi="Poppins" w:cs="Poppins"/>
        </w:rPr>
        <w:t>.</w:t>
      </w:r>
    </w:p>
    <w:p w14:paraId="2672839E" w14:textId="2CD9FAC9" w:rsidR="00A513BD" w:rsidRPr="00D1021A" w:rsidRDefault="00AF5758" w:rsidP="00E55947">
      <w:pPr>
        <w:pStyle w:val="Flietext"/>
        <w:jc w:val="left"/>
        <w:rPr>
          <w:rFonts w:ascii="Poppins" w:hAnsi="Poppins" w:cs="Poppins"/>
        </w:rPr>
      </w:pPr>
      <w:r w:rsidRPr="00D1021A">
        <w:rPr>
          <w:rFonts w:ascii="Poppins" w:hAnsi="Poppins" w:cs="Poppins"/>
        </w:rPr>
        <w:t xml:space="preserve">Aus diesem Grund ist es </w:t>
      </w:r>
      <w:r w:rsidR="00303D31" w:rsidRPr="00D1021A">
        <w:rPr>
          <w:rFonts w:ascii="Poppins" w:hAnsi="Poppins" w:cs="Poppins"/>
        </w:rPr>
        <w:t>sinnvoll</w:t>
      </w:r>
      <w:r w:rsidRPr="00D1021A">
        <w:rPr>
          <w:rFonts w:ascii="Poppins" w:hAnsi="Poppins" w:cs="Poppins"/>
        </w:rPr>
        <w:t xml:space="preserve">, </w:t>
      </w:r>
      <w:r w:rsidR="00EC728F" w:rsidRPr="00D1021A">
        <w:rPr>
          <w:rFonts w:ascii="Poppins" w:hAnsi="Poppins" w:cs="Poppins"/>
        </w:rPr>
        <w:t xml:space="preserve">Konzepten und Methoden aus dem QM offen gegenüberzustehen. </w:t>
      </w:r>
      <w:r w:rsidRPr="00D1021A">
        <w:rPr>
          <w:rFonts w:ascii="Poppins" w:hAnsi="Poppins" w:cs="Poppins"/>
        </w:rPr>
        <w:t>Die wohl bekannteste Theorie der Qualitätsverbesserung ist die von W. Edward Deming (</w:t>
      </w:r>
      <w:r w:rsidR="00EC728F" w:rsidRPr="00D1021A">
        <w:rPr>
          <w:rFonts w:ascii="Poppins" w:hAnsi="Poppins" w:cs="Poppins"/>
        </w:rPr>
        <w:t xml:space="preserve">vgl. </w:t>
      </w:r>
      <w:proofErr w:type="spellStart"/>
      <w:r w:rsidR="00EC728F" w:rsidRPr="00D1021A">
        <w:rPr>
          <w:rFonts w:ascii="Poppins" w:hAnsi="Poppins" w:cs="Poppins"/>
        </w:rPr>
        <w:t>Muralidharan</w:t>
      </w:r>
      <w:proofErr w:type="spellEnd"/>
      <w:r w:rsidR="00EC728F" w:rsidRPr="00D1021A">
        <w:rPr>
          <w:rFonts w:ascii="Poppins" w:hAnsi="Poppins" w:cs="Poppins"/>
        </w:rPr>
        <w:t xml:space="preserve">, </w:t>
      </w:r>
      <w:r w:rsidR="00EC728F" w:rsidRPr="00D1021A">
        <w:rPr>
          <w:rFonts w:ascii="Poppins" w:hAnsi="Poppins" w:cs="Poppins"/>
        </w:rPr>
        <w:lastRenderedPageBreak/>
        <w:t xml:space="preserve">2024, </w:t>
      </w:r>
      <w:r w:rsidRPr="00D1021A">
        <w:rPr>
          <w:rFonts w:ascii="Poppins" w:hAnsi="Poppins" w:cs="Poppins"/>
        </w:rPr>
        <w:t>S. 542)</w:t>
      </w:r>
      <w:r w:rsidR="00EC728F" w:rsidRPr="00D1021A">
        <w:rPr>
          <w:rFonts w:ascii="Poppins" w:hAnsi="Poppins" w:cs="Poppins"/>
        </w:rPr>
        <w:t>.</w:t>
      </w:r>
      <w:r w:rsidR="00447DCE" w:rsidRPr="00D1021A">
        <w:rPr>
          <w:rFonts w:ascii="Poppins" w:hAnsi="Poppins" w:cs="Poppins"/>
        </w:rPr>
        <w:t xml:space="preserve"> Deming wird die Entwicklung des sogenannten Deming-Kr</w:t>
      </w:r>
      <w:r w:rsidR="00823774" w:rsidRPr="00D1021A">
        <w:rPr>
          <w:rFonts w:ascii="Poppins" w:hAnsi="Poppins" w:cs="Poppins"/>
        </w:rPr>
        <w:t>ei</w:t>
      </w:r>
      <w:r w:rsidR="00447DCE" w:rsidRPr="00D1021A">
        <w:rPr>
          <w:rFonts w:ascii="Poppins" w:hAnsi="Poppins" w:cs="Poppins"/>
        </w:rPr>
        <w:t>ses</w:t>
      </w:r>
      <w:r w:rsidR="001B29E0" w:rsidRPr="00D1021A">
        <w:rPr>
          <w:rFonts w:ascii="Poppins" w:hAnsi="Poppins" w:cs="Poppins"/>
        </w:rPr>
        <w:t xml:space="preserve">, auch PDCA-Zyklus genannt, </w:t>
      </w:r>
      <w:r w:rsidR="00447DCE" w:rsidRPr="00D1021A">
        <w:rPr>
          <w:rFonts w:ascii="Poppins" w:hAnsi="Poppins" w:cs="Poppins"/>
        </w:rPr>
        <w:t xml:space="preserve">im Jahr 1950 in Japan zugeschrieben, welcher aus den </w:t>
      </w:r>
      <w:r w:rsidR="001B29E0" w:rsidRPr="00D1021A">
        <w:rPr>
          <w:rFonts w:ascii="Poppins" w:hAnsi="Poppins" w:cs="Poppins"/>
        </w:rPr>
        <w:t xml:space="preserve">sich </w:t>
      </w:r>
      <w:r w:rsidR="00447DCE" w:rsidRPr="00D1021A">
        <w:rPr>
          <w:rFonts w:ascii="Poppins" w:hAnsi="Poppins" w:cs="Poppins"/>
        </w:rPr>
        <w:t xml:space="preserve">wiederholenden Elementen: Plan, Do, Check und Act besteht. Demings Ansatz beruht allerdings auf einer wissenschaftlichen Methode von Walter </w:t>
      </w:r>
      <w:proofErr w:type="spellStart"/>
      <w:r w:rsidR="00447DCE" w:rsidRPr="00D1021A">
        <w:rPr>
          <w:rFonts w:ascii="Poppins" w:hAnsi="Poppins" w:cs="Poppins"/>
        </w:rPr>
        <w:t>Shewhart</w:t>
      </w:r>
      <w:proofErr w:type="spellEnd"/>
      <w:r w:rsidR="00447DCE" w:rsidRPr="00D1021A">
        <w:rPr>
          <w:rFonts w:ascii="Poppins" w:hAnsi="Poppins" w:cs="Poppins"/>
        </w:rPr>
        <w:t xml:space="preserve"> </w:t>
      </w:r>
      <w:r w:rsidR="001B29E0" w:rsidRPr="00D1021A">
        <w:rPr>
          <w:rFonts w:ascii="Poppins" w:hAnsi="Poppins" w:cs="Poppins"/>
        </w:rPr>
        <w:t xml:space="preserve">(daher auch als </w:t>
      </w:r>
      <w:proofErr w:type="spellStart"/>
      <w:r w:rsidR="001B29E0" w:rsidRPr="00D1021A">
        <w:rPr>
          <w:rFonts w:ascii="Poppins" w:hAnsi="Poppins" w:cs="Poppins"/>
        </w:rPr>
        <w:t>Shewhart</w:t>
      </w:r>
      <w:proofErr w:type="spellEnd"/>
      <w:r w:rsidR="001B29E0" w:rsidRPr="00D1021A">
        <w:rPr>
          <w:rFonts w:ascii="Poppins" w:hAnsi="Poppins" w:cs="Poppins"/>
        </w:rPr>
        <w:t xml:space="preserve"> Cycle bekannt) </w:t>
      </w:r>
      <w:r w:rsidR="00C25C98" w:rsidRPr="00D1021A">
        <w:rPr>
          <w:rFonts w:ascii="Poppins" w:hAnsi="Poppins" w:cs="Poppins"/>
        </w:rPr>
        <w:t>aus dem</w:t>
      </w:r>
      <w:r w:rsidR="00447DCE" w:rsidRPr="00D1021A">
        <w:rPr>
          <w:rFonts w:ascii="Poppins" w:hAnsi="Poppins" w:cs="Poppins"/>
        </w:rPr>
        <w:t xml:space="preserve"> Jahr 1939</w:t>
      </w:r>
      <w:r w:rsidR="001B29E0" w:rsidRPr="00D1021A">
        <w:rPr>
          <w:rFonts w:ascii="Poppins" w:hAnsi="Poppins" w:cs="Poppins"/>
        </w:rPr>
        <w:t xml:space="preserve"> </w:t>
      </w:r>
      <w:r w:rsidR="001E7447" w:rsidRPr="00D1021A">
        <w:rPr>
          <w:rFonts w:ascii="Poppins" w:hAnsi="Poppins" w:cs="Poppins"/>
        </w:rPr>
        <w:t xml:space="preserve">(vgl. </w:t>
      </w:r>
      <w:proofErr w:type="spellStart"/>
      <w:r w:rsidR="001E7447" w:rsidRPr="00D1021A">
        <w:rPr>
          <w:rFonts w:ascii="Poppins" w:hAnsi="Poppins" w:cs="Poppins"/>
        </w:rPr>
        <w:t>Shewhart</w:t>
      </w:r>
      <w:proofErr w:type="spellEnd"/>
      <w:r w:rsidR="001E7447" w:rsidRPr="00D1021A">
        <w:rPr>
          <w:rFonts w:ascii="Poppins" w:hAnsi="Poppins" w:cs="Poppins"/>
        </w:rPr>
        <w:t>, 1939, S. 44 ff.</w:t>
      </w:r>
      <w:r w:rsidR="00EB557D" w:rsidRPr="00D1021A">
        <w:rPr>
          <w:rFonts w:ascii="Poppins" w:hAnsi="Poppins" w:cs="Poppins"/>
        </w:rPr>
        <w:t xml:space="preserve"> / Deming, 1953, S. 431 f.</w:t>
      </w:r>
      <w:r w:rsidR="006F0B1A" w:rsidRPr="00D1021A">
        <w:rPr>
          <w:rFonts w:ascii="Poppins" w:hAnsi="Poppins" w:cs="Poppins"/>
        </w:rPr>
        <w:t xml:space="preserve"> </w:t>
      </w:r>
      <w:r w:rsidR="00550E7B" w:rsidRPr="00D1021A">
        <w:rPr>
          <w:rFonts w:ascii="Poppins" w:hAnsi="Poppins" w:cs="Poppins"/>
        </w:rPr>
        <w:t xml:space="preserve">/ </w:t>
      </w:r>
      <w:r w:rsidR="006F0B1A" w:rsidRPr="00D1021A">
        <w:rPr>
          <w:rFonts w:ascii="Poppins" w:hAnsi="Poppins" w:cs="Poppins"/>
        </w:rPr>
        <w:t xml:space="preserve">Deming, </w:t>
      </w:r>
      <w:r w:rsidR="00550E7B" w:rsidRPr="00D1021A">
        <w:rPr>
          <w:rFonts w:ascii="Poppins" w:hAnsi="Poppins" w:cs="Poppins"/>
        </w:rPr>
        <w:t xml:space="preserve">2018, </w:t>
      </w:r>
      <w:r w:rsidR="006F0B1A" w:rsidRPr="00D1021A">
        <w:rPr>
          <w:rFonts w:ascii="Poppins" w:hAnsi="Poppins" w:cs="Poppins"/>
        </w:rPr>
        <w:t>S. 153 ff.</w:t>
      </w:r>
      <w:r w:rsidR="001E7447" w:rsidRPr="00D1021A">
        <w:rPr>
          <w:rFonts w:ascii="Poppins" w:hAnsi="Poppins" w:cs="Poppins"/>
        </w:rPr>
        <w:t xml:space="preserve">) </w:t>
      </w:r>
      <w:r w:rsidR="001B29E0" w:rsidRPr="00D1021A">
        <w:rPr>
          <w:rFonts w:ascii="Poppins" w:hAnsi="Poppins" w:cs="Poppins"/>
        </w:rPr>
        <w:t xml:space="preserve">und ist im Kontext der Entwicklung der wissenschaftlichen Methoden an sich wie den Arbeiten von Galileo Galilei aus dem 16. Jahrhundert zu betrachten (vgl. </w:t>
      </w:r>
      <w:proofErr w:type="spellStart"/>
      <w:r w:rsidR="001B29E0" w:rsidRPr="00D1021A">
        <w:rPr>
          <w:rFonts w:ascii="Poppins" w:hAnsi="Poppins" w:cs="Poppins"/>
        </w:rPr>
        <w:t>Moen</w:t>
      </w:r>
      <w:proofErr w:type="spellEnd"/>
      <w:r w:rsidR="001B29E0" w:rsidRPr="00D1021A">
        <w:rPr>
          <w:rFonts w:ascii="Poppins" w:hAnsi="Poppins" w:cs="Poppins"/>
        </w:rPr>
        <w:t xml:space="preserve"> &amp; Norman, 2009, S. 1 ff.)</w:t>
      </w:r>
    </w:p>
    <w:p w14:paraId="337668B2" w14:textId="7629D253" w:rsidR="00A513BD" w:rsidRPr="00D1021A" w:rsidRDefault="00A513BD" w:rsidP="00E55947">
      <w:pPr>
        <w:pStyle w:val="Flietext"/>
        <w:jc w:val="left"/>
        <w:rPr>
          <w:rFonts w:ascii="Poppins" w:hAnsi="Poppins" w:cs="Poppins"/>
        </w:rPr>
      </w:pPr>
      <w:r w:rsidRPr="00D1021A">
        <w:rPr>
          <w:rFonts w:ascii="Poppins" w:hAnsi="Poppins" w:cs="Poppins"/>
        </w:rPr>
        <w:t>Die HOOU bedient sich bei der Entwicklung offene</w:t>
      </w:r>
      <w:r w:rsidR="00303D31" w:rsidRPr="00D1021A">
        <w:rPr>
          <w:rFonts w:ascii="Poppins" w:hAnsi="Poppins" w:cs="Poppins"/>
        </w:rPr>
        <w:t>r</w:t>
      </w:r>
      <w:r w:rsidRPr="00D1021A">
        <w:rPr>
          <w:rFonts w:ascii="Poppins" w:hAnsi="Poppins" w:cs="Poppins"/>
        </w:rPr>
        <w:t xml:space="preserve"> Bildungsangebote diesem Qualitätsmanagementansatz und lebt damit das Prinzip der </w:t>
      </w:r>
      <w:r w:rsidR="00880A09" w:rsidRPr="00D1021A">
        <w:rPr>
          <w:rFonts w:ascii="Poppins" w:hAnsi="Poppins" w:cs="Poppins"/>
        </w:rPr>
        <w:t>k</w:t>
      </w:r>
      <w:r w:rsidRPr="00D1021A">
        <w:rPr>
          <w:rFonts w:ascii="Poppins" w:hAnsi="Poppins" w:cs="Poppins"/>
        </w:rPr>
        <w:t>ontinuierlichen Verbesserung.</w:t>
      </w:r>
      <w:r w:rsidR="00880A09" w:rsidRPr="00D1021A">
        <w:rPr>
          <w:rFonts w:ascii="Poppins" w:hAnsi="Poppins" w:cs="Poppins"/>
        </w:rPr>
        <w:t xml:space="preserve"> Dies gelingt nur, wenn die Entwicklungs- und Verbesserungsschritte partizipativ mit den beteiligten Personengruppen gemeinsam gestaltet werden. Nur so k</w:t>
      </w:r>
      <w:r w:rsidR="00303D31" w:rsidRPr="00D1021A">
        <w:rPr>
          <w:rFonts w:ascii="Poppins" w:hAnsi="Poppins" w:cs="Poppins"/>
        </w:rPr>
        <w:t>ö</w:t>
      </w:r>
      <w:r w:rsidR="00880A09" w:rsidRPr="00D1021A">
        <w:rPr>
          <w:rFonts w:ascii="Poppins" w:hAnsi="Poppins" w:cs="Poppins"/>
        </w:rPr>
        <w:t>nn</w:t>
      </w:r>
      <w:r w:rsidR="00303D31" w:rsidRPr="00D1021A">
        <w:rPr>
          <w:rFonts w:ascii="Poppins" w:hAnsi="Poppins" w:cs="Poppins"/>
        </w:rPr>
        <w:t>en</w:t>
      </w:r>
      <w:r w:rsidR="00880A09" w:rsidRPr="00D1021A">
        <w:rPr>
          <w:rFonts w:ascii="Poppins" w:hAnsi="Poppins" w:cs="Poppins"/>
        </w:rPr>
        <w:t xml:space="preserve"> das beste Ergebnis erzielt und die Motivation erhalten werden</w:t>
      </w:r>
      <w:r w:rsidR="007D2669" w:rsidRPr="00D1021A">
        <w:rPr>
          <w:rFonts w:ascii="Poppins" w:hAnsi="Poppins" w:cs="Poppins"/>
        </w:rPr>
        <w:t xml:space="preserve"> (vgl. Müller, 201</w:t>
      </w:r>
      <w:r w:rsidR="008B1F0B">
        <w:rPr>
          <w:rFonts w:ascii="Poppins" w:hAnsi="Poppins" w:cs="Poppins"/>
        </w:rPr>
        <w:t>5</w:t>
      </w:r>
      <w:r w:rsidR="007D2669" w:rsidRPr="00D1021A">
        <w:rPr>
          <w:rFonts w:ascii="Poppins" w:hAnsi="Poppins" w:cs="Poppins"/>
        </w:rPr>
        <w:t>, S. 199)</w:t>
      </w:r>
      <w:r w:rsidR="00880A09" w:rsidRPr="00D1021A">
        <w:rPr>
          <w:rFonts w:ascii="Poppins" w:hAnsi="Poppins" w:cs="Poppins"/>
        </w:rPr>
        <w:t xml:space="preserve">. </w:t>
      </w:r>
      <w:r w:rsidR="00E8172F" w:rsidRPr="00D1021A">
        <w:rPr>
          <w:rFonts w:ascii="Poppins" w:hAnsi="Poppins" w:cs="Poppins"/>
        </w:rPr>
        <w:t>Diese Haltung entspricht ebenfalls dem OER-Gedanken und erlaubt, dass OER ihr volles Potenzial entfalten können, wie in den folgenden Kapiteln verdeutlicht wird.</w:t>
      </w:r>
    </w:p>
    <w:p w14:paraId="468A329D" w14:textId="42B2A237" w:rsidR="0040385C" w:rsidRPr="00D1021A" w:rsidRDefault="00046E90" w:rsidP="00A96443">
      <w:pPr>
        <w:pStyle w:val="berschrift1"/>
        <w:rPr>
          <w:rFonts w:ascii="Poppins" w:hAnsi="Poppins" w:cs="Poppins"/>
        </w:rPr>
      </w:pPr>
      <w:bookmarkStart w:id="37" w:name="_Toc177037301"/>
      <w:r w:rsidRPr="00D1021A">
        <w:rPr>
          <w:rFonts w:ascii="Poppins" w:hAnsi="Poppins" w:cs="Poppins"/>
        </w:rPr>
        <w:t>Open Educational Resources (OER)</w:t>
      </w:r>
      <w:bookmarkEnd w:id="37"/>
    </w:p>
    <w:p w14:paraId="3EC4913E" w14:textId="71977F4C" w:rsidR="0040385C" w:rsidRPr="00D1021A" w:rsidRDefault="00046E90" w:rsidP="00E55947">
      <w:pPr>
        <w:pStyle w:val="Flietext"/>
        <w:jc w:val="left"/>
        <w:rPr>
          <w:rFonts w:ascii="Poppins" w:hAnsi="Poppins" w:cs="Poppins"/>
        </w:rPr>
      </w:pPr>
      <w:r w:rsidRPr="006416ED">
        <w:rPr>
          <w:rFonts w:ascii="Poppins" w:hAnsi="Poppins" w:cs="Poppins"/>
          <w:lang w:val="en-US"/>
        </w:rPr>
        <w:t xml:space="preserve">Der </w:t>
      </w:r>
      <w:proofErr w:type="spellStart"/>
      <w:r w:rsidRPr="006416ED">
        <w:rPr>
          <w:rFonts w:ascii="Poppins" w:hAnsi="Poppins" w:cs="Poppins"/>
          <w:lang w:val="en-US"/>
        </w:rPr>
        <w:t>Begriff</w:t>
      </w:r>
      <w:proofErr w:type="spellEnd"/>
      <w:r w:rsidRPr="006416ED">
        <w:rPr>
          <w:rFonts w:ascii="Poppins" w:hAnsi="Poppins" w:cs="Poppins"/>
          <w:lang w:val="en-US"/>
        </w:rPr>
        <w:t xml:space="preserve"> Open Educational Resources (OER) </w:t>
      </w:r>
      <w:proofErr w:type="spellStart"/>
      <w:r w:rsidRPr="006416ED">
        <w:rPr>
          <w:rFonts w:ascii="Poppins" w:hAnsi="Poppins" w:cs="Poppins"/>
          <w:lang w:val="en-US"/>
        </w:rPr>
        <w:t>wurde</w:t>
      </w:r>
      <w:proofErr w:type="spellEnd"/>
      <w:r w:rsidRPr="006416ED">
        <w:rPr>
          <w:rFonts w:ascii="Poppins" w:hAnsi="Poppins" w:cs="Poppins"/>
          <w:lang w:val="en-US"/>
        </w:rPr>
        <w:t xml:space="preserve"> </w:t>
      </w:r>
      <w:proofErr w:type="spellStart"/>
      <w:r w:rsidRPr="006416ED">
        <w:rPr>
          <w:rFonts w:ascii="Poppins" w:hAnsi="Poppins" w:cs="Poppins"/>
          <w:lang w:val="en-US"/>
        </w:rPr>
        <w:t>erstmalig</w:t>
      </w:r>
      <w:proofErr w:type="spellEnd"/>
      <w:r w:rsidRPr="006416ED">
        <w:rPr>
          <w:rFonts w:ascii="Poppins" w:hAnsi="Poppins" w:cs="Poppins"/>
          <w:lang w:val="en-US"/>
        </w:rPr>
        <w:t xml:space="preserve"> 2002 </w:t>
      </w:r>
      <w:proofErr w:type="spellStart"/>
      <w:r w:rsidRPr="006416ED">
        <w:rPr>
          <w:rFonts w:ascii="Poppins" w:hAnsi="Poppins" w:cs="Poppins"/>
          <w:lang w:val="en-US"/>
        </w:rPr>
        <w:t>im</w:t>
      </w:r>
      <w:proofErr w:type="spellEnd"/>
      <w:r w:rsidRPr="006416ED">
        <w:rPr>
          <w:rFonts w:ascii="Poppins" w:hAnsi="Poppins" w:cs="Poppins"/>
          <w:lang w:val="en-US"/>
        </w:rPr>
        <w:t xml:space="preserve"> „Forum on the Impact of Open Courseware for Higher Education in Developing </w:t>
      </w:r>
      <w:proofErr w:type="gramStart"/>
      <w:r w:rsidRPr="006416ED">
        <w:rPr>
          <w:rFonts w:ascii="Poppins" w:hAnsi="Poppins" w:cs="Poppins"/>
          <w:lang w:val="en-US"/>
        </w:rPr>
        <w:t xml:space="preserve">Countries“ </w:t>
      </w:r>
      <w:proofErr w:type="spellStart"/>
      <w:r w:rsidRPr="006416ED">
        <w:rPr>
          <w:rFonts w:ascii="Poppins" w:hAnsi="Poppins" w:cs="Poppins"/>
          <w:lang w:val="en-US"/>
        </w:rPr>
        <w:t>verwendet</w:t>
      </w:r>
      <w:bookmarkStart w:id="38" w:name="_Hlk173998010"/>
      <w:proofErr w:type="spellEnd"/>
      <w:proofErr w:type="gramEnd"/>
      <w:r w:rsidR="00E4128D" w:rsidRPr="006416ED">
        <w:rPr>
          <w:rFonts w:ascii="Poppins" w:hAnsi="Poppins" w:cs="Poppins"/>
          <w:lang w:val="en-US"/>
        </w:rPr>
        <w:t xml:space="preserve"> (</w:t>
      </w:r>
      <w:bookmarkStart w:id="39" w:name="_Hlk174018520"/>
      <w:proofErr w:type="spellStart"/>
      <w:r w:rsidR="00E4128D" w:rsidRPr="006416ED">
        <w:rPr>
          <w:rFonts w:ascii="Poppins" w:hAnsi="Poppins" w:cs="Poppins"/>
          <w:lang w:val="en-US"/>
        </w:rPr>
        <w:t>vgl</w:t>
      </w:r>
      <w:proofErr w:type="spellEnd"/>
      <w:r w:rsidR="00E4128D" w:rsidRPr="006416ED">
        <w:rPr>
          <w:rFonts w:ascii="Poppins" w:hAnsi="Poppins" w:cs="Poppins"/>
          <w:lang w:val="en-US"/>
        </w:rPr>
        <w:t>. UNESCO, 2002, S. 6</w:t>
      </w:r>
      <w:bookmarkEnd w:id="38"/>
      <w:bookmarkEnd w:id="39"/>
      <w:r w:rsidR="00E4128D" w:rsidRPr="006416ED">
        <w:rPr>
          <w:rFonts w:ascii="Poppins" w:hAnsi="Poppins" w:cs="Poppins"/>
          <w:lang w:val="en-US"/>
        </w:rPr>
        <w:t>)</w:t>
      </w:r>
      <w:r w:rsidRPr="006416ED">
        <w:rPr>
          <w:rFonts w:ascii="Poppins" w:hAnsi="Poppins" w:cs="Poppins"/>
          <w:lang w:val="en-US"/>
        </w:rPr>
        <w:t xml:space="preserve">. </w:t>
      </w:r>
      <w:r w:rsidRPr="00D1021A">
        <w:rPr>
          <w:rFonts w:ascii="Poppins" w:hAnsi="Poppins" w:cs="Poppins"/>
        </w:rPr>
        <w:t>2012 fand dann der erste Weltkongress der UNESCO zu OER statt. 400 Expert</w:t>
      </w:r>
      <w:r w:rsidR="002C1569" w:rsidRPr="00D1021A">
        <w:rPr>
          <w:rFonts w:ascii="Poppins" w:hAnsi="Poppins" w:cs="Poppins"/>
        </w:rPr>
        <w:t>*</w:t>
      </w:r>
      <w:r w:rsidRPr="00D1021A">
        <w:rPr>
          <w:rFonts w:ascii="Poppins" w:hAnsi="Poppins" w:cs="Poppins"/>
        </w:rPr>
        <w:t xml:space="preserve">innen kamen </w:t>
      </w:r>
      <w:r w:rsidRPr="00D1021A">
        <w:rPr>
          <w:rFonts w:ascii="Poppins" w:hAnsi="Poppins" w:cs="Poppins"/>
        </w:rPr>
        <w:lastRenderedPageBreak/>
        <w:t>hier zusammen und erarbeiteten die „Pariser Erklärung zu OER“, in der alle UNESCO-Mitgliedstaaten aufgefordert wurden, die Erstellung und Nutzung von OER zu fördern (</w:t>
      </w:r>
      <w:bookmarkStart w:id="40" w:name="_Hlk173858047"/>
      <w:r w:rsidRPr="00D1021A">
        <w:rPr>
          <w:rFonts w:ascii="Poppins" w:hAnsi="Poppins" w:cs="Poppins"/>
        </w:rPr>
        <w:t>UNESCO, 2018, S. 4.</w:t>
      </w:r>
      <w:bookmarkEnd w:id="40"/>
      <w:r w:rsidRPr="00D1021A">
        <w:rPr>
          <w:rFonts w:ascii="Poppins" w:hAnsi="Poppins" w:cs="Poppins"/>
        </w:rPr>
        <w:t>).</w:t>
      </w:r>
    </w:p>
    <w:p w14:paraId="1604DA0F" w14:textId="77777777" w:rsidR="0040385C" w:rsidRPr="00D1021A" w:rsidRDefault="00046E90" w:rsidP="00A96443">
      <w:pPr>
        <w:pStyle w:val="berschrift2"/>
        <w:rPr>
          <w:rFonts w:ascii="Poppins" w:hAnsi="Poppins" w:cs="Poppins"/>
        </w:rPr>
      </w:pPr>
      <w:bookmarkStart w:id="41" w:name="_Toc177037302"/>
      <w:r w:rsidRPr="00D1021A">
        <w:rPr>
          <w:rFonts w:ascii="Poppins" w:hAnsi="Poppins" w:cs="Poppins"/>
        </w:rPr>
        <w:t>Definition von OER</w:t>
      </w:r>
      <w:bookmarkEnd w:id="41"/>
    </w:p>
    <w:p w14:paraId="721151EF" w14:textId="3319B0BE" w:rsidR="0040385C" w:rsidRPr="006416ED" w:rsidRDefault="00046E90" w:rsidP="00E55947">
      <w:pPr>
        <w:pStyle w:val="Flietext"/>
        <w:jc w:val="left"/>
        <w:rPr>
          <w:rFonts w:ascii="Poppins" w:hAnsi="Poppins" w:cs="Poppins"/>
          <w:lang w:val="en-US"/>
        </w:rPr>
      </w:pPr>
      <w:r w:rsidRPr="006416ED">
        <w:rPr>
          <w:rFonts w:ascii="Poppins" w:hAnsi="Poppins" w:cs="Poppins"/>
          <w:lang w:val="en-US"/>
        </w:rPr>
        <w:t xml:space="preserve">Es </w:t>
      </w:r>
      <w:proofErr w:type="spellStart"/>
      <w:r w:rsidRPr="006416ED">
        <w:rPr>
          <w:rFonts w:ascii="Poppins" w:hAnsi="Poppins" w:cs="Poppins"/>
          <w:lang w:val="en-US"/>
        </w:rPr>
        <w:t>gibt</w:t>
      </w:r>
      <w:proofErr w:type="spellEnd"/>
      <w:r w:rsidRPr="006416ED">
        <w:rPr>
          <w:rFonts w:ascii="Poppins" w:hAnsi="Poppins" w:cs="Poppins"/>
          <w:lang w:val="en-US"/>
        </w:rPr>
        <w:t xml:space="preserve"> </w:t>
      </w:r>
      <w:proofErr w:type="spellStart"/>
      <w:r w:rsidRPr="006416ED">
        <w:rPr>
          <w:rFonts w:ascii="Poppins" w:hAnsi="Poppins" w:cs="Poppins"/>
          <w:lang w:val="en-US"/>
        </w:rPr>
        <w:t>verschiedene</w:t>
      </w:r>
      <w:proofErr w:type="spellEnd"/>
      <w:r w:rsidRPr="006416ED">
        <w:rPr>
          <w:rFonts w:ascii="Poppins" w:hAnsi="Poppins" w:cs="Poppins"/>
          <w:lang w:val="en-US"/>
        </w:rPr>
        <w:t xml:space="preserve"> </w:t>
      </w:r>
      <w:proofErr w:type="spellStart"/>
      <w:r w:rsidRPr="006416ED">
        <w:rPr>
          <w:rFonts w:ascii="Poppins" w:hAnsi="Poppins" w:cs="Poppins"/>
          <w:lang w:val="en-US"/>
        </w:rPr>
        <w:t>Definition</w:t>
      </w:r>
      <w:r w:rsidR="00303D31" w:rsidRPr="006416ED">
        <w:rPr>
          <w:rFonts w:ascii="Poppins" w:hAnsi="Poppins" w:cs="Poppins"/>
          <w:lang w:val="en-US"/>
        </w:rPr>
        <w:t>en</w:t>
      </w:r>
      <w:proofErr w:type="spellEnd"/>
      <w:r w:rsidRPr="006416ED">
        <w:rPr>
          <w:rFonts w:ascii="Poppins" w:hAnsi="Poppins" w:cs="Poppins"/>
          <w:lang w:val="en-US"/>
        </w:rPr>
        <w:t xml:space="preserve"> von OER, die HOOU </w:t>
      </w:r>
      <w:proofErr w:type="spellStart"/>
      <w:r w:rsidRPr="006416ED">
        <w:rPr>
          <w:rFonts w:ascii="Poppins" w:hAnsi="Poppins" w:cs="Poppins"/>
          <w:lang w:val="en-US"/>
        </w:rPr>
        <w:t>folgt</w:t>
      </w:r>
      <w:proofErr w:type="spellEnd"/>
      <w:r w:rsidRPr="006416ED">
        <w:rPr>
          <w:rFonts w:ascii="Poppins" w:hAnsi="Poppins" w:cs="Poppins"/>
          <w:lang w:val="en-US"/>
        </w:rPr>
        <w:t xml:space="preserve"> der </w:t>
      </w:r>
      <w:proofErr w:type="spellStart"/>
      <w:r w:rsidRPr="006416ED">
        <w:rPr>
          <w:rFonts w:ascii="Poppins" w:hAnsi="Poppins" w:cs="Poppins"/>
          <w:lang w:val="en-US"/>
        </w:rPr>
        <w:t>häufig</w:t>
      </w:r>
      <w:proofErr w:type="spellEnd"/>
      <w:r w:rsidRPr="006416ED">
        <w:rPr>
          <w:rFonts w:ascii="Poppins" w:hAnsi="Poppins" w:cs="Poppins"/>
          <w:lang w:val="en-US"/>
        </w:rPr>
        <w:t xml:space="preserve"> </w:t>
      </w:r>
      <w:proofErr w:type="spellStart"/>
      <w:r w:rsidR="00303D31" w:rsidRPr="006416ED">
        <w:rPr>
          <w:rFonts w:ascii="Poppins" w:hAnsi="Poppins" w:cs="Poppins"/>
          <w:lang w:val="en-US"/>
        </w:rPr>
        <w:t>verwendeten</w:t>
      </w:r>
      <w:proofErr w:type="spellEnd"/>
      <w:r w:rsidR="00303D31" w:rsidRPr="006416ED">
        <w:rPr>
          <w:rFonts w:ascii="Poppins" w:hAnsi="Poppins" w:cs="Poppins"/>
          <w:lang w:val="en-US"/>
        </w:rPr>
        <w:t xml:space="preserve"> </w:t>
      </w:r>
      <w:r w:rsidRPr="006416ED">
        <w:rPr>
          <w:rFonts w:ascii="Poppins" w:hAnsi="Poppins" w:cs="Poppins"/>
          <w:lang w:val="en-US"/>
        </w:rPr>
        <w:t xml:space="preserve">Definition der UNESCO: „Open Educational Resources (OER) are learning, teaching and research materials in any format and medium that reside in the public domain or are under copyright that have been released under an open license, that permit no-cost access, re-use, re-purpose, adaptation and redistribution by </w:t>
      </w:r>
      <w:proofErr w:type="gramStart"/>
      <w:r w:rsidRPr="006416ED">
        <w:rPr>
          <w:rFonts w:ascii="Poppins" w:hAnsi="Poppins" w:cs="Poppins"/>
          <w:lang w:val="en-US"/>
        </w:rPr>
        <w:t>others“ (</w:t>
      </w:r>
      <w:proofErr w:type="gramEnd"/>
      <w:r w:rsidRPr="006416ED">
        <w:rPr>
          <w:rFonts w:ascii="Poppins" w:hAnsi="Poppins" w:cs="Poppins"/>
          <w:lang w:val="en-US"/>
        </w:rPr>
        <w:t>UNESCO, o. J. a.)</w:t>
      </w:r>
      <w:r w:rsidR="00D55950" w:rsidRPr="006416ED">
        <w:rPr>
          <w:rFonts w:ascii="Poppins" w:hAnsi="Poppins" w:cs="Poppins"/>
          <w:lang w:val="en-US"/>
        </w:rPr>
        <w:t>.</w:t>
      </w:r>
    </w:p>
    <w:p w14:paraId="1D813D6E" w14:textId="77777777" w:rsidR="0040385C" w:rsidRPr="00D1021A" w:rsidRDefault="00046E90" w:rsidP="00E55947">
      <w:pPr>
        <w:pStyle w:val="Flietext"/>
        <w:jc w:val="left"/>
        <w:rPr>
          <w:rFonts w:ascii="Poppins" w:hAnsi="Poppins" w:cs="Poppins"/>
        </w:rPr>
      </w:pPr>
      <w:r w:rsidRPr="00D1021A">
        <w:rPr>
          <w:rFonts w:ascii="Poppins" w:hAnsi="Poppins" w:cs="Poppins"/>
        </w:rPr>
        <w:t>Die Deutsche UNESCO-Kommission definiert OER wie folgt:</w:t>
      </w:r>
    </w:p>
    <w:p w14:paraId="021E6554" w14:textId="77777777" w:rsidR="0040385C" w:rsidRPr="00D1021A" w:rsidRDefault="00046E90" w:rsidP="00E55947">
      <w:pPr>
        <w:pStyle w:val="Flietext"/>
        <w:jc w:val="left"/>
        <w:rPr>
          <w:rFonts w:ascii="Poppins" w:hAnsi="Poppins" w:cs="Poppins"/>
        </w:rPr>
      </w:pPr>
      <w:r w:rsidRPr="00D1021A">
        <w:rPr>
          <w:rFonts w:ascii="Poppins" w:hAnsi="Poppins" w:cs="Poppins"/>
        </w:rPr>
        <w:t>„Open Educational Resources (OER) sind Bildungsmaterialien jeglicher Art und in jedem Medium, die unter einer offenen Lizenz stehen. Eine solche Lizenz ermöglicht den kostenlosen Zugang sowie die kostenlose Nutzung, Bearbeitung und Weiterverbreitung durch Dritte ohne oder mit geringfügigen Einschränkungen. Dabei bestimmen die Urhebenden selbst, welche Nutzungsrechte sie einräumen und welche Rechte sie sich vorbehalten.“ (UNESCO, o. J. b.).</w:t>
      </w:r>
    </w:p>
    <w:p w14:paraId="6321FC1D" w14:textId="2350354C" w:rsidR="0040385C" w:rsidRPr="00D1021A" w:rsidRDefault="009B614E" w:rsidP="00A96443">
      <w:pPr>
        <w:pStyle w:val="berschrift2"/>
        <w:rPr>
          <w:rFonts w:ascii="Poppins" w:hAnsi="Poppins" w:cs="Poppins"/>
          <w14:ligatures w14:val="none"/>
        </w:rPr>
      </w:pPr>
      <w:bookmarkStart w:id="42" w:name="_Toc177037303"/>
      <w:r w:rsidRPr="00D1021A">
        <w:rPr>
          <w:rFonts w:ascii="Poppins" w:hAnsi="Poppins" w:cs="Poppins"/>
        </w:rPr>
        <w:lastRenderedPageBreak/>
        <w:t>5</w:t>
      </w:r>
      <w:r w:rsidR="00046E90" w:rsidRPr="00D1021A">
        <w:rPr>
          <w:rFonts w:ascii="Poppins" w:hAnsi="Poppins" w:cs="Poppins"/>
        </w:rPr>
        <w:t xml:space="preserve"> V-Freiheiten</w:t>
      </w:r>
      <w:bookmarkEnd w:id="42"/>
    </w:p>
    <w:p w14:paraId="29D1D202" w14:textId="6762F16F" w:rsidR="0040385C" w:rsidRPr="00D1021A" w:rsidRDefault="00046E90" w:rsidP="00E55947">
      <w:pPr>
        <w:pStyle w:val="Flietext"/>
        <w:jc w:val="left"/>
        <w:rPr>
          <w:rFonts w:ascii="Poppins" w:hAnsi="Poppins" w:cs="Poppins"/>
        </w:rPr>
      </w:pPr>
      <w:r w:rsidRPr="00D1021A">
        <w:rPr>
          <w:rFonts w:ascii="Poppins" w:hAnsi="Poppins" w:cs="Poppins"/>
        </w:rPr>
        <w:t>OER sind nur dann OER, wenn sie wirklich frei und offen nutzbar sind. Dabei orientiert sich das „</w:t>
      </w:r>
      <w:r w:rsidR="00303D31" w:rsidRPr="00D1021A">
        <w:rPr>
          <w:rFonts w:ascii="Poppins" w:hAnsi="Poppins" w:cs="Poppins"/>
        </w:rPr>
        <w:t>O</w:t>
      </w:r>
      <w:r w:rsidRPr="00D1021A">
        <w:rPr>
          <w:rFonts w:ascii="Poppins" w:hAnsi="Poppins" w:cs="Poppins"/>
        </w:rPr>
        <w:t>ffen“ an den 5 V-Freiheiten</w:t>
      </w:r>
      <w:r w:rsidRPr="00D1021A">
        <w:rPr>
          <w:rFonts w:ascii="Poppins" w:hAnsi="Poppins" w:cs="Poppins"/>
          <w:b/>
          <w:bCs/>
        </w:rPr>
        <w:t xml:space="preserve"> </w:t>
      </w:r>
      <w:r w:rsidRPr="00D1021A">
        <w:rPr>
          <w:rFonts w:ascii="Poppins" w:hAnsi="Poppins" w:cs="Poppins"/>
        </w:rPr>
        <w:t>nach</w:t>
      </w:r>
      <w:r w:rsidRPr="00D1021A">
        <w:rPr>
          <w:rFonts w:ascii="Poppins" w:hAnsi="Poppins" w:cs="Poppins"/>
          <w:b/>
          <w:bCs/>
        </w:rPr>
        <w:t xml:space="preserve"> </w:t>
      </w:r>
      <w:r w:rsidRPr="00D1021A">
        <w:rPr>
          <w:rFonts w:ascii="Poppins" w:hAnsi="Poppins" w:cs="Poppins"/>
        </w:rPr>
        <w:t>David Wiley</w:t>
      </w:r>
      <w:r w:rsidR="00E81BCC" w:rsidRPr="00D1021A">
        <w:rPr>
          <w:rFonts w:ascii="Poppins" w:hAnsi="Poppins" w:cs="Poppins"/>
        </w:rPr>
        <w:t xml:space="preserve"> (</w:t>
      </w:r>
      <w:r w:rsidRPr="00D1021A">
        <w:rPr>
          <w:rFonts w:ascii="Poppins" w:eastAsia="Calibri" w:hAnsi="Poppins" w:cs="Poppins"/>
          <w:color w:val="000000" w:themeColor="text1"/>
        </w:rPr>
        <w:t>vgl. Wiley &amp; Hilton, 2018, S. 134 f.)</w:t>
      </w:r>
      <w:r w:rsidR="0078233D" w:rsidRPr="00D1021A">
        <w:rPr>
          <w:rFonts w:ascii="Poppins" w:eastAsia="Calibri" w:hAnsi="Poppins" w:cs="Poppins"/>
          <w:color w:val="000000" w:themeColor="text1"/>
        </w:rPr>
        <w:t>. Diese sind:</w:t>
      </w:r>
    </w:p>
    <w:p w14:paraId="61BF2FD2" w14:textId="705D8B1D" w:rsidR="0001730A" w:rsidRPr="00D1021A" w:rsidRDefault="0001730A" w:rsidP="002004EB">
      <w:pPr>
        <w:pStyle w:val="Flietext"/>
        <w:numPr>
          <w:ilvl w:val="0"/>
          <w:numId w:val="7"/>
        </w:numPr>
        <w:spacing w:after="120"/>
        <w:ind w:left="714" w:hanging="357"/>
        <w:rPr>
          <w:rFonts w:ascii="Poppins" w:hAnsi="Poppins" w:cs="Poppins"/>
        </w:rPr>
      </w:pPr>
      <w:r w:rsidRPr="00D1021A">
        <w:rPr>
          <w:rFonts w:ascii="Poppins" w:hAnsi="Poppins" w:cs="Poppins"/>
        </w:rPr>
        <w:t>Verwahren und vervielfältigen: Das Recht, Kopien des Inhalts anzufertigen</w:t>
      </w:r>
      <w:r w:rsidR="00665309" w:rsidRPr="00D1021A">
        <w:rPr>
          <w:rFonts w:ascii="Poppins" w:hAnsi="Poppins" w:cs="Poppins"/>
        </w:rPr>
        <w:t>, zu besitzen und zu kontrollieren.</w:t>
      </w:r>
    </w:p>
    <w:p w14:paraId="784C57B8" w14:textId="4FDCB957" w:rsidR="008C19D2" w:rsidRPr="00D1021A" w:rsidRDefault="008C19D2" w:rsidP="002004EB">
      <w:pPr>
        <w:pStyle w:val="Flietext"/>
        <w:numPr>
          <w:ilvl w:val="0"/>
          <w:numId w:val="7"/>
        </w:numPr>
        <w:spacing w:after="120"/>
        <w:ind w:left="714" w:hanging="357"/>
        <w:rPr>
          <w:rFonts w:ascii="Poppins" w:hAnsi="Poppins" w:cs="Poppins"/>
        </w:rPr>
      </w:pPr>
      <w:r w:rsidRPr="00D1021A">
        <w:rPr>
          <w:rFonts w:ascii="Poppins" w:hAnsi="Poppins" w:cs="Poppins"/>
        </w:rPr>
        <w:t>Verwenden: Das Recht, den Inhalt in unterschiedlichen Zusammenhängen zu verwenden.</w:t>
      </w:r>
    </w:p>
    <w:p w14:paraId="64CA3A29" w14:textId="102AE69D" w:rsidR="008C19D2" w:rsidRPr="00D1021A" w:rsidRDefault="008C19D2" w:rsidP="002004EB">
      <w:pPr>
        <w:pStyle w:val="Flietext"/>
        <w:numPr>
          <w:ilvl w:val="0"/>
          <w:numId w:val="7"/>
        </w:numPr>
        <w:spacing w:after="120"/>
        <w:ind w:left="714" w:hanging="357"/>
        <w:rPr>
          <w:rFonts w:ascii="Poppins" w:hAnsi="Poppins" w:cs="Poppins"/>
        </w:rPr>
      </w:pPr>
      <w:r w:rsidRPr="00D1021A">
        <w:rPr>
          <w:rFonts w:ascii="Poppins" w:hAnsi="Poppins" w:cs="Poppins"/>
        </w:rPr>
        <w:t>Verarbeiten: Das Recht, den Inhalt zu bearbeiten, anzupassen, zu verändern oder umzugestalten.</w:t>
      </w:r>
    </w:p>
    <w:p w14:paraId="5187228F" w14:textId="01A69A63" w:rsidR="008C19D2" w:rsidRPr="00D1021A" w:rsidRDefault="008C19D2" w:rsidP="002004EB">
      <w:pPr>
        <w:pStyle w:val="Flietext"/>
        <w:numPr>
          <w:ilvl w:val="0"/>
          <w:numId w:val="7"/>
        </w:numPr>
        <w:spacing w:after="120"/>
        <w:ind w:left="714" w:hanging="357"/>
        <w:rPr>
          <w:rFonts w:ascii="Poppins" w:hAnsi="Poppins" w:cs="Poppins"/>
        </w:rPr>
      </w:pPr>
      <w:r w:rsidRPr="00D1021A">
        <w:rPr>
          <w:rFonts w:ascii="Poppins" w:hAnsi="Poppins" w:cs="Poppins"/>
        </w:rPr>
        <w:t xml:space="preserve">Vermischen: Das Recht, </w:t>
      </w:r>
      <w:r w:rsidR="00AA1243" w:rsidRPr="00D1021A">
        <w:rPr>
          <w:rFonts w:ascii="Poppins" w:hAnsi="Poppins" w:cs="Poppins"/>
        </w:rPr>
        <w:t>einen Inhalt im Original oder in einer Bearbeitung mit anderen offenen Inhalten zu verbinden und daraus etwas Neues zu schaffen.</w:t>
      </w:r>
    </w:p>
    <w:p w14:paraId="25CFD765" w14:textId="77777777" w:rsidR="00E971E4" w:rsidRPr="00D1021A" w:rsidRDefault="00AA1243" w:rsidP="00E971E4">
      <w:pPr>
        <w:pStyle w:val="Flietext"/>
        <w:numPr>
          <w:ilvl w:val="0"/>
          <w:numId w:val="7"/>
        </w:numPr>
        <w:spacing w:after="120"/>
        <w:ind w:left="714" w:hanging="357"/>
        <w:rPr>
          <w:rFonts w:ascii="Poppins" w:hAnsi="Poppins" w:cs="Poppins"/>
        </w:rPr>
      </w:pPr>
      <w:r w:rsidRPr="00D1021A">
        <w:rPr>
          <w:rFonts w:ascii="Poppins" w:hAnsi="Poppins" w:cs="Poppins"/>
        </w:rPr>
        <w:t xml:space="preserve">Verbreiten: Das Recht, Kopien des Inhalts mit </w:t>
      </w:r>
      <w:proofErr w:type="spellStart"/>
      <w:r w:rsidRPr="00D1021A">
        <w:rPr>
          <w:rFonts w:ascii="Poppins" w:hAnsi="Poppins" w:cs="Poppins"/>
        </w:rPr>
        <w:t>Anderen</w:t>
      </w:r>
      <w:proofErr w:type="spellEnd"/>
      <w:r w:rsidRPr="00D1021A">
        <w:rPr>
          <w:rFonts w:ascii="Poppins" w:hAnsi="Poppins" w:cs="Poppins"/>
        </w:rPr>
        <w:t xml:space="preserve"> zu teilen, im Original oder in Überarbeitungen.</w:t>
      </w:r>
    </w:p>
    <w:p w14:paraId="0F077909" w14:textId="30E03EA4" w:rsidR="00E971E4" w:rsidRPr="00D1021A" w:rsidRDefault="00E971E4" w:rsidP="00E971E4">
      <w:pPr>
        <w:pStyle w:val="Flietext"/>
        <w:spacing w:after="120"/>
        <w:rPr>
          <w:rFonts w:ascii="Poppins" w:hAnsi="Poppins" w:cs="Poppins"/>
        </w:rPr>
      </w:pPr>
      <w:r w:rsidRPr="00D1021A">
        <w:rPr>
          <w:rFonts w:ascii="Poppins" w:hAnsi="Poppins" w:cs="Poppins"/>
          <w:szCs w:val="24"/>
        </w:rPr>
        <w:t>(</w:t>
      </w:r>
      <w:proofErr w:type="spellStart"/>
      <w:r w:rsidRPr="00D1021A">
        <w:rPr>
          <w:rFonts w:ascii="Poppins" w:hAnsi="Poppins" w:cs="Poppins"/>
          <w:szCs w:val="24"/>
        </w:rPr>
        <w:t>Muuß-Merholz</w:t>
      </w:r>
      <w:proofErr w:type="spellEnd"/>
      <w:r w:rsidRPr="00D1021A">
        <w:rPr>
          <w:rFonts w:ascii="Poppins" w:hAnsi="Poppins" w:cs="Poppins"/>
          <w:szCs w:val="24"/>
        </w:rPr>
        <w:t xml:space="preserve"> &amp; Lohrer, 2015, o. S.)</w:t>
      </w:r>
    </w:p>
    <w:p w14:paraId="6D71A317" w14:textId="6B578A18" w:rsidR="00283F48" w:rsidRPr="00D1021A" w:rsidRDefault="00283F48" w:rsidP="00A96443">
      <w:pPr>
        <w:pStyle w:val="berschrift2"/>
        <w:rPr>
          <w:rFonts w:ascii="Poppins" w:hAnsi="Poppins" w:cs="Poppins"/>
        </w:rPr>
      </w:pPr>
      <w:bookmarkStart w:id="43" w:name="_Toc177037304"/>
      <w:r w:rsidRPr="00D1021A">
        <w:rPr>
          <w:rFonts w:ascii="Poppins" w:hAnsi="Poppins" w:cs="Poppins"/>
        </w:rPr>
        <w:t>OER-Lebenszyklus</w:t>
      </w:r>
      <w:bookmarkEnd w:id="43"/>
    </w:p>
    <w:p w14:paraId="43BB549F" w14:textId="340A9273" w:rsidR="00283F48" w:rsidRPr="00D1021A" w:rsidRDefault="00283F48" w:rsidP="00E55947">
      <w:pPr>
        <w:pStyle w:val="Flietext"/>
        <w:jc w:val="left"/>
        <w:rPr>
          <w:rFonts w:ascii="Poppins" w:hAnsi="Poppins" w:cs="Poppins"/>
        </w:rPr>
      </w:pPr>
      <w:r w:rsidRPr="00D1021A">
        <w:rPr>
          <w:rFonts w:ascii="Poppins" w:hAnsi="Poppins" w:cs="Poppins"/>
        </w:rPr>
        <w:t>D</w:t>
      </w:r>
      <w:r w:rsidR="00CD418A" w:rsidRPr="00D1021A">
        <w:rPr>
          <w:rFonts w:ascii="Poppins" w:hAnsi="Poppins" w:cs="Poppins"/>
        </w:rPr>
        <w:t>er</w:t>
      </w:r>
      <w:r w:rsidRPr="00D1021A">
        <w:rPr>
          <w:rFonts w:ascii="Poppins" w:hAnsi="Poppins" w:cs="Poppins"/>
        </w:rPr>
        <w:t xml:space="preserve"> OER-Lebenszyklus (OER</w:t>
      </w:r>
      <w:r w:rsidR="00BB0640" w:rsidRPr="00D1021A">
        <w:rPr>
          <w:rFonts w:ascii="Poppins" w:hAnsi="Poppins" w:cs="Poppins"/>
        </w:rPr>
        <w:t xml:space="preserve"> </w:t>
      </w:r>
      <w:proofErr w:type="spellStart"/>
      <w:r w:rsidR="00BB0640" w:rsidRPr="00D1021A">
        <w:rPr>
          <w:rFonts w:ascii="Poppins" w:hAnsi="Poppins" w:cs="Poppins"/>
        </w:rPr>
        <w:t>l</w:t>
      </w:r>
      <w:r w:rsidRPr="00D1021A">
        <w:rPr>
          <w:rFonts w:ascii="Poppins" w:hAnsi="Poppins" w:cs="Poppins"/>
        </w:rPr>
        <w:t>i</w:t>
      </w:r>
      <w:r w:rsidR="00BB0640" w:rsidRPr="00D1021A">
        <w:rPr>
          <w:rFonts w:ascii="Poppins" w:hAnsi="Poppins" w:cs="Poppins"/>
        </w:rPr>
        <w:t>f</w:t>
      </w:r>
      <w:r w:rsidRPr="00D1021A">
        <w:rPr>
          <w:rFonts w:ascii="Poppins" w:hAnsi="Poppins" w:cs="Poppins"/>
        </w:rPr>
        <w:t>ecycle</w:t>
      </w:r>
      <w:proofErr w:type="spellEnd"/>
      <w:r w:rsidRPr="00D1021A">
        <w:rPr>
          <w:rFonts w:ascii="Poppins" w:hAnsi="Poppins" w:cs="Poppins"/>
        </w:rPr>
        <w:t xml:space="preserve">) </w:t>
      </w:r>
      <w:r w:rsidR="00CD418A" w:rsidRPr="00D1021A">
        <w:rPr>
          <w:rFonts w:ascii="Poppins" w:hAnsi="Poppins" w:cs="Poppins"/>
        </w:rPr>
        <w:t xml:space="preserve">ist ein Modell, das </w:t>
      </w:r>
      <w:r w:rsidR="00BB0640" w:rsidRPr="00D1021A">
        <w:rPr>
          <w:rFonts w:ascii="Poppins" w:hAnsi="Poppins" w:cs="Poppins"/>
        </w:rPr>
        <w:t>unterschiedlich beschrieben</w:t>
      </w:r>
      <w:r w:rsidR="00CD418A" w:rsidRPr="00D1021A">
        <w:rPr>
          <w:rFonts w:ascii="Poppins" w:hAnsi="Poppins" w:cs="Poppins"/>
        </w:rPr>
        <w:t xml:space="preserve"> wird</w:t>
      </w:r>
      <w:r w:rsidR="00BB0640" w:rsidRPr="00D1021A">
        <w:rPr>
          <w:rFonts w:ascii="Poppins" w:hAnsi="Poppins" w:cs="Poppins"/>
        </w:rPr>
        <w:t xml:space="preserve">. </w:t>
      </w:r>
      <w:r w:rsidR="00406478" w:rsidRPr="00D1021A">
        <w:rPr>
          <w:rFonts w:ascii="Poppins" w:hAnsi="Poppins" w:cs="Poppins"/>
        </w:rPr>
        <w:t>Bei dem frühen</w:t>
      </w:r>
      <w:r w:rsidR="00285188" w:rsidRPr="00D1021A">
        <w:rPr>
          <w:rFonts w:ascii="Poppins" w:hAnsi="Poppins" w:cs="Poppins"/>
        </w:rPr>
        <w:t xml:space="preserve"> Modell von </w:t>
      </w:r>
      <w:proofErr w:type="spellStart"/>
      <w:r w:rsidR="00BB0640" w:rsidRPr="00D1021A">
        <w:rPr>
          <w:rFonts w:ascii="Poppins" w:hAnsi="Poppins" w:cs="Poppins"/>
        </w:rPr>
        <w:t>Gurell</w:t>
      </w:r>
      <w:proofErr w:type="spellEnd"/>
      <w:r w:rsidR="00BB0640" w:rsidRPr="00D1021A">
        <w:rPr>
          <w:rFonts w:ascii="Poppins" w:hAnsi="Poppins" w:cs="Poppins"/>
        </w:rPr>
        <w:t xml:space="preserve"> </w:t>
      </w:r>
      <w:r w:rsidR="00B33684" w:rsidRPr="00D1021A">
        <w:rPr>
          <w:rFonts w:ascii="Poppins" w:hAnsi="Poppins" w:cs="Poppins"/>
        </w:rPr>
        <w:t xml:space="preserve">und Wiley </w:t>
      </w:r>
      <w:r w:rsidR="00BB0640" w:rsidRPr="00D1021A">
        <w:rPr>
          <w:rFonts w:ascii="Poppins" w:hAnsi="Poppins" w:cs="Poppins"/>
        </w:rPr>
        <w:t xml:space="preserve">(2008) </w:t>
      </w:r>
      <w:r w:rsidR="00B33684" w:rsidRPr="00D1021A">
        <w:rPr>
          <w:rFonts w:ascii="Poppins" w:hAnsi="Poppins" w:cs="Poppins"/>
        </w:rPr>
        <w:t xml:space="preserve">beginnt der Lebenszyklus mit dem Wunsch oder der Notwenigkeit, etwas zu lernen oder lehren. Fünf Schritte verdeutlichen dabei den typischen OER-Entwicklungsprozess, diese sind: </w:t>
      </w:r>
      <w:r w:rsidR="009B614E" w:rsidRPr="00D1021A">
        <w:rPr>
          <w:rFonts w:ascii="Poppins" w:hAnsi="Poppins" w:cs="Poppins"/>
          <w:i/>
          <w:iCs/>
        </w:rPr>
        <w:t xml:space="preserve">finden, zusammenstellen, anpassen, </w:t>
      </w:r>
      <w:r w:rsidR="009B614E" w:rsidRPr="00D1021A">
        <w:rPr>
          <w:rFonts w:ascii="Poppins" w:hAnsi="Poppins" w:cs="Poppins"/>
          <w:i/>
          <w:iCs/>
        </w:rPr>
        <w:lastRenderedPageBreak/>
        <w:t>nutzen</w:t>
      </w:r>
      <w:r w:rsidR="00406478" w:rsidRPr="00D1021A">
        <w:rPr>
          <w:rFonts w:ascii="Poppins" w:hAnsi="Poppins" w:cs="Poppins"/>
        </w:rPr>
        <w:t xml:space="preserve"> und als letzten Schritt </w:t>
      </w:r>
      <w:r w:rsidR="009B614E" w:rsidRPr="00D1021A">
        <w:rPr>
          <w:rFonts w:ascii="Poppins" w:hAnsi="Poppins" w:cs="Poppins"/>
          <w:i/>
          <w:iCs/>
        </w:rPr>
        <w:t>teilen</w:t>
      </w:r>
      <w:r w:rsidR="00406478" w:rsidRPr="00D1021A">
        <w:rPr>
          <w:rFonts w:ascii="Poppins" w:hAnsi="Poppins" w:cs="Poppins"/>
        </w:rPr>
        <w:t xml:space="preserve"> </w:t>
      </w:r>
      <w:r w:rsidR="00B33684" w:rsidRPr="00D1021A">
        <w:rPr>
          <w:rFonts w:ascii="Poppins" w:hAnsi="Poppins" w:cs="Poppins"/>
        </w:rPr>
        <w:t>(</w:t>
      </w:r>
      <w:bookmarkStart w:id="44" w:name="_Hlk173858637"/>
      <w:r w:rsidR="009B614E" w:rsidRPr="00D1021A">
        <w:rPr>
          <w:rFonts w:ascii="Poppins" w:hAnsi="Poppins" w:cs="Poppins"/>
        </w:rPr>
        <w:t xml:space="preserve">vgl. </w:t>
      </w:r>
      <w:proofErr w:type="spellStart"/>
      <w:r w:rsidR="00B33684" w:rsidRPr="00D1021A">
        <w:rPr>
          <w:rFonts w:ascii="Poppins" w:hAnsi="Poppins" w:cs="Poppins"/>
        </w:rPr>
        <w:t>Gurell</w:t>
      </w:r>
      <w:proofErr w:type="spellEnd"/>
      <w:r w:rsidR="00B33684" w:rsidRPr="00D1021A">
        <w:rPr>
          <w:rFonts w:ascii="Poppins" w:hAnsi="Poppins" w:cs="Poppins"/>
        </w:rPr>
        <w:t xml:space="preserve"> &amp; Wiley, 2008, S. 25</w:t>
      </w:r>
      <w:bookmarkEnd w:id="44"/>
      <w:r w:rsidR="002C240E" w:rsidRPr="00D1021A">
        <w:rPr>
          <w:rFonts w:ascii="Poppins" w:hAnsi="Poppins" w:cs="Poppins"/>
        </w:rPr>
        <w:t xml:space="preserve"> </w:t>
      </w:r>
      <w:r w:rsidR="00DA1F8B" w:rsidRPr="00D1021A">
        <w:rPr>
          <w:rFonts w:ascii="Poppins" w:hAnsi="Poppins" w:cs="Poppins"/>
        </w:rPr>
        <w:t>f.)</w:t>
      </w:r>
      <w:r w:rsidR="00B33684" w:rsidRPr="00D1021A">
        <w:rPr>
          <w:rFonts w:ascii="Poppins" w:hAnsi="Poppins" w:cs="Poppins"/>
        </w:rPr>
        <w:t>.</w:t>
      </w:r>
      <w:r w:rsidR="008375E7" w:rsidRPr="00D1021A">
        <w:rPr>
          <w:rFonts w:ascii="Poppins" w:hAnsi="Poppins" w:cs="Poppins"/>
        </w:rPr>
        <w:t xml:space="preserve"> (Was ist mit neueren Modellen? Sonst ggf. Einleitung ändern)</w:t>
      </w:r>
    </w:p>
    <w:p w14:paraId="4E32BDE6" w14:textId="77777777" w:rsidR="0040385C" w:rsidRPr="00D1021A" w:rsidRDefault="00046E90" w:rsidP="009B614E">
      <w:pPr>
        <w:pStyle w:val="berschrift2"/>
        <w:rPr>
          <w:rFonts w:ascii="Poppins" w:hAnsi="Poppins" w:cs="Poppins"/>
        </w:rPr>
      </w:pPr>
      <w:bookmarkStart w:id="45" w:name="_Toc177037305"/>
      <w:r w:rsidRPr="00D1021A">
        <w:rPr>
          <w:rFonts w:ascii="Poppins" w:hAnsi="Poppins" w:cs="Poppins"/>
        </w:rPr>
        <w:t>Mehrwert von OER</w:t>
      </w:r>
      <w:bookmarkEnd w:id="45"/>
    </w:p>
    <w:p w14:paraId="724C1E8D" w14:textId="0C972D8F" w:rsidR="00A430C2" w:rsidRPr="00D1021A" w:rsidRDefault="00046E90" w:rsidP="00E55947">
      <w:pPr>
        <w:pStyle w:val="Flietext"/>
        <w:jc w:val="left"/>
        <w:rPr>
          <w:rFonts w:ascii="Poppins" w:hAnsi="Poppins" w:cs="Poppins"/>
        </w:rPr>
      </w:pPr>
      <w:r w:rsidRPr="00D1021A">
        <w:rPr>
          <w:rFonts w:ascii="Poppins" w:hAnsi="Poppins" w:cs="Poppins"/>
        </w:rPr>
        <w:t xml:space="preserve">Open Educational Resources fördern den Zugang zu kostenloser, qualitativ hochwertiger Bildung für alle und tragen damit zu einem verbesserten Zugang zu Bildung weltweit und einer Förderung von sozialer Gerechtigkeit bei </w:t>
      </w:r>
      <w:bookmarkStart w:id="46" w:name="_Hlk173859076"/>
      <w:r w:rsidRPr="00D1021A">
        <w:rPr>
          <w:rFonts w:ascii="Poppins" w:hAnsi="Poppins" w:cs="Poppins"/>
        </w:rPr>
        <w:t>(vgl. Müller, 2021, S. 214</w:t>
      </w:r>
      <w:bookmarkEnd w:id="46"/>
      <w:r w:rsidRPr="00D1021A">
        <w:rPr>
          <w:rFonts w:ascii="Poppins" w:hAnsi="Poppins" w:cs="Poppins"/>
        </w:rPr>
        <w:t>).</w:t>
      </w:r>
    </w:p>
    <w:p w14:paraId="7CCB53E3" w14:textId="1EBB73AF" w:rsidR="00035B81" w:rsidRPr="00D1021A" w:rsidRDefault="00035B81" w:rsidP="00E55947">
      <w:pPr>
        <w:pStyle w:val="Flietext"/>
        <w:jc w:val="left"/>
        <w:rPr>
          <w:rFonts w:ascii="Poppins" w:hAnsi="Poppins" w:cs="Poppins"/>
        </w:rPr>
      </w:pPr>
      <w:r w:rsidRPr="00D1021A">
        <w:rPr>
          <w:rFonts w:ascii="Poppins" w:hAnsi="Poppins" w:cs="Poppins"/>
        </w:rPr>
        <w:t>Darüber hinaus tragen OER dazu bei, den Missstand zu beheben, dass Wissen und Forschungsergebnisse, die mit öffentlichen Gelder</w:t>
      </w:r>
      <w:r w:rsidR="002D2374" w:rsidRPr="00D1021A">
        <w:rPr>
          <w:rFonts w:ascii="Poppins" w:hAnsi="Poppins" w:cs="Poppins"/>
        </w:rPr>
        <w:t>n</w:t>
      </w:r>
      <w:r w:rsidRPr="00D1021A">
        <w:rPr>
          <w:rFonts w:ascii="Poppins" w:hAnsi="Poppins" w:cs="Poppins"/>
        </w:rPr>
        <w:t xml:space="preserve"> erstellt wurden und daher durch die Allgemeinheit finanziert wurden, nicht allen zugänglich sind (vgl. Villinger et al., 2019, S. 1).</w:t>
      </w:r>
    </w:p>
    <w:p w14:paraId="49AF476E" w14:textId="2502630C" w:rsidR="0040385C" w:rsidRPr="00D1021A" w:rsidRDefault="00046E90" w:rsidP="00E55947">
      <w:pPr>
        <w:pStyle w:val="Flietext"/>
        <w:jc w:val="left"/>
        <w:rPr>
          <w:rFonts w:ascii="Poppins" w:hAnsi="Poppins" w:cs="Poppins"/>
        </w:rPr>
      </w:pPr>
      <w:r w:rsidRPr="00D1021A">
        <w:rPr>
          <w:rFonts w:ascii="Poppins" w:eastAsia="Aptos" w:hAnsi="Poppins" w:cs="Poppins"/>
          <w:color w:val="000000" w:themeColor="text1"/>
          <w:szCs w:val="24"/>
        </w:rPr>
        <w:t>OER bieten viele weitere Vorteile</w:t>
      </w:r>
      <w:r w:rsidR="00434827" w:rsidRPr="00D1021A">
        <w:rPr>
          <w:rFonts w:ascii="Poppins" w:eastAsia="Aptos" w:hAnsi="Poppins" w:cs="Poppins"/>
          <w:color w:val="000000" w:themeColor="text1"/>
          <w:szCs w:val="24"/>
        </w:rPr>
        <w:t xml:space="preserve"> und Chancen</w:t>
      </w:r>
      <w:r w:rsidRPr="00D1021A">
        <w:rPr>
          <w:rFonts w:ascii="Poppins" w:eastAsia="Aptos" w:hAnsi="Poppins" w:cs="Poppins"/>
          <w:color w:val="000000" w:themeColor="text1"/>
          <w:szCs w:val="24"/>
        </w:rPr>
        <w:t>:</w:t>
      </w:r>
    </w:p>
    <w:p w14:paraId="3C8FDA0A" w14:textId="3E6E1EFB" w:rsidR="00E15806" w:rsidRPr="00D1021A" w:rsidRDefault="00046E90" w:rsidP="00E15806">
      <w:pPr>
        <w:pStyle w:val="Flietext"/>
        <w:numPr>
          <w:ilvl w:val="0"/>
          <w:numId w:val="3"/>
        </w:numPr>
        <w:jc w:val="left"/>
        <w:rPr>
          <w:rFonts w:ascii="Poppins" w:eastAsia="Aptos" w:hAnsi="Poppins" w:cs="Poppins"/>
          <w:color w:val="000000" w:themeColor="text1"/>
        </w:rPr>
      </w:pPr>
      <w:r w:rsidRPr="00D1021A">
        <w:rPr>
          <w:rFonts w:ascii="Poppins" w:eastAsia="Aptos" w:hAnsi="Poppins" w:cs="Poppins"/>
          <w:color w:val="000000" w:themeColor="text1"/>
        </w:rPr>
        <w:t>OER fördern Innovation</w:t>
      </w:r>
      <w:r w:rsidR="0007251D" w:rsidRPr="00D1021A">
        <w:rPr>
          <w:rFonts w:ascii="Poppins" w:eastAsia="Aptos" w:hAnsi="Poppins" w:cs="Poppins"/>
          <w:color w:val="000000" w:themeColor="text1"/>
        </w:rPr>
        <w:t>en</w:t>
      </w:r>
      <w:r w:rsidRPr="00D1021A">
        <w:rPr>
          <w:rFonts w:ascii="Poppins" w:eastAsia="Aptos" w:hAnsi="Poppins" w:cs="Poppins"/>
          <w:color w:val="000000" w:themeColor="text1"/>
        </w:rPr>
        <w:t xml:space="preserve"> und neue Formen der Zusammenarbeit, die wichtig sind, um </w:t>
      </w:r>
      <w:r w:rsidR="0007251D" w:rsidRPr="00D1021A">
        <w:rPr>
          <w:rFonts w:ascii="Poppins" w:eastAsia="Aptos" w:hAnsi="Poppins" w:cs="Poppins"/>
          <w:color w:val="000000" w:themeColor="text1"/>
        </w:rPr>
        <w:t xml:space="preserve">die </w:t>
      </w:r>
      <w:r w:rsidRPr="00D1021A">
        <w:rPr>
          <w:rFonts w:ascii="Poppins" w:eastAsia="Aptos" w:hAnsi="Poppins" w:cs="Poppins"/>
          <w:color w:val="000000" w:themeColor="text1"/>
        </w:rPr>
        <w:t>große</w:t>
      </w:r>
      <w:r w:rsidR="00E4128D" w:rsidRPr="00D1021A">
        <w:rPr>
          <w:rFonts w:ascii="Poppins" w:eastAsia="Aptos" w:hAnsi="Poppins" w:cs="Poppins"/>
          <w:color w:val="000000" w:themeColor="text1"/>
        </w:rPr>
        <w:t>n</w:t>
      </w:r>
      <w:r w:rsidRPr="00D1021A">
        <w:rPr>
          <w:rFonts w:ascii="Poppins" w:eastAsia="Aptos" w:hAnsi="Poppins" w:cs="Poppins"/>
          <w:color w:val="000000" w:themeColor="text1"/>
        </w:rPr>
        <w:t xml:space="preserve"> Probleme in unserer Welt anzugehen (</w:t>
      </w:r>
      <w:bookmarkStart w:id="47" w:name="_Hlk173916845"/>
      <w:r w:rsidRPr="00D1021A">
        <w:rPr>
          <w:rFonts w:ascii="Poppins" w:eastAsia="Aptos" w:hAnsi="Poppins" w:cs="Poppins"/>
          <w:color w:val="000000" w:themeColor="text1"/>
        </w:rPr>
        <w:t xml:space="preserve">vgl. Mishra </w:t>
      </w:r>
      <w:r w:rsidR="00B2797F" w:rsidRPr="00D1021A">
        <w:rPr>
          <w:rFonts w:ascii="Poppins" w:eastAsia="Aptos" w:hAnsi="Poppins" w:cs="Poppins"/>
          <w:color w:val="000000" w:themeColor="text1"/>
        </w:rPr>
        <w:t>&amp; Misra</w:t>
      </w:r>
      <w:r w:rsidRPr="00D1021A">
        <w:rPr>
          <w:rFonts w:ascii="Poppins" w:eastAsia="Aptos" w:hAnsi="Poppins" w:cs="Poppins"/>
          <w:color w:val="000000" w:themeColor="text1"/>
        </w:rPr>
        <w:t>, 2022, S. 4</w:t>
      </w:r>
      <w:bookmarkEnd w:id="47"/>
      <w:r w:rsidRPr="00D1021A">
        <w:rPr>
          <w:rFonts w:ascii="Poppins" w:eastAsia="Aptos" w:hAnsi="Poppins" w:cs="Poppins"/>
          <w:color w:val="000000" w:themeColor="text1"/>
        </w:rPr>
        <w:t>).</w:t>
      </w:r>
    </w:p>
    <w:p w14:paraId="06A0930A" w14:textId="253A30DC" w:rsidR="0040385C" w:rsidRPr="00D1021A" w:rsidRDefault="00046E90" w:rsidP="00E15806">
      <w:pPr>
        <w:pStyle w:val="Flietext"/>
        <w:numPr>
          <w:ilvl w:val="0"/>
          <w:numId w:val="3"/>
        </w:numPr>
        <w:jc w:val="left"/>
        <w:rPr>
          <w:rFonts w:ascii="Poppins" w:eastAsia="Aptos" w:hAnsi="Poppins" w:cs="Poppins"/>
          <w:color w:val="000000" w:themeColor="text1"/>
        </w:rPr>
      </w:pPr>
      <w:r w:rsidRPr="00D1021A">
        <w:rPr>
          <w:rFonts w:ascii="Poppins" w:eastAsia="Aptos" w:hAnsi="Poppins" w:cs="Poppins"/>
          <w:color w:val="000000" w:themeColor="text1"/>
        </w:rPr>
        <w:t xml:space="preserve">Durch die Umsetzung der 4 Vs und die Möglichkeit der Vervielfältigung, Verwendung, Verarbeitung, Vermischung und Verbreitung der OER können zudem stetig die neuesten wissenschaftlichen Erkenntnisse sofort integriert werden - das steigert </w:t>
      </w:r>
      <w:r w:rsidRPr="00D1021A">
        <w:rPr>
          <w:rFonts w:ascii="Poppins" w:eastAsia="Aptos" w:hAnsi="Poppins" w:cs="Poppins"/>
          <w:color w:val="000000" w:themeColor="text1"/>
        </w:rPr>
        <w:lastRenderedPageBreak/>
        <w:t>auch die Qualität der Inhalte (</w:t>
      </w:r>
      <w:bookmarkStart w:id="48" w:name="_Hlk173916905"/>
      <w:r w:rsidRPr="00D1021A">
        <w:rPr>
          <w:rFonts w:ascii="Poppins" w:eastAsia="Aptos" w:hAnsi="Poppins" w:cs="Poppins"/>
          <w:color w:val="000000" w:themeColor="text1"/>
        </w:rPr>
        <w:t xml:space="preserve">vgl. Frost, 2017, o. S. </w:t>
      </w:r>
      <w:r w:rsidR="00923E88" w:rsidRPr="00D1021A">
        <w:rPr>
          <w:rFonts w:ascii="Poppins" w:eastAsia="Aptos" w:hAnsi="Poppins" w:cs="Poppins"/>
          <w:color w:val="000000" w:themeColor="text1"/>
        </w:rPr>
        <w:t>/</w:t>
      </w:r>
      <w:r w:rsidRPr="00D1021A">
        <w:rPr>
          <w:rFonts w:ascii="Poppins" w:eastAsia="Aptos" w:hAnsi="Poppins" w:cs="Poppins"/>
          <w:color w:val="000000" w:themeColor="text1"/>
        </w:rPr>
        <w:t xml:space="preserve"> </w:t>
      </w:r>
      <w:proofErr w:type="spellStart"/>
      <w:r w:rsidRPr="00D1021A">
        <w:rPr>
          <w:rFonts w:ascii="Poppins" w:eastAsia="Aptos" w:hAnsi="Poppins" w:cs="Poppins"/>
          <w:color w:val="000000" w:themeColor="text1"/>
        </w:rPr>
        <w:t>Muuß-Merholz</w:t>
      </w:r>
      <w:proofErr w:type="spellEnd"/>
      <w:r w:rsidRPr="00D1021A">
        <w:rPr>
          <w:rFonts w:ascii="Poppins" w:eastAsia="Aptos" w:hAnsi="Poppins" w:cs="Poppins"/>
          <w:color w:val="000000" w:themeColor="text1"/>
        </w:rPr>
        <w:t>, 2015, o. S</w:t>
      </w:r>
      <w:bookmarkEnd w:id="48"/>
      <w:r w:rsidRPr="00D1021A">
        <w:rPr>
          <w:rFonts w:ascii="Poppins" w:eastAsia="Aptos" w:hAnsi="Poppins" w:cs="Poppins"/>
          <w:color w:val="000000" w:themeColor="text1"/>
        </w:rPr>
        <w:t>.).</w:t>
      </w:r>
    </w:p>
    <w:p w14:paraId="5935A259" w14:textId="3439EA91" w:rsidR="0040385C" w:rsidRPr="00D1021A" w:rsidRDefault="00046E90" w:rsidP="00E15806">
      <w:pPr>
        <w:pStyle w:val="Flietext"/>
        <w:numPr>
          <w:ilvl w:val="0"/>
          <w:numId w:val="3"/>
        </w:numPr>
        <w:jc w:val="left"/>
        <w:rPr>
          <w:rFonts w:ascii="Poppins" w:eastAsia="Aptos" w:hAnsi="Poppins" w:cs="Poppins"/>
          <w:color w:val="000000" w:themeColor="text1"/>
        </w:rPr>
      </w:pPr>
      <w:r w:rsidRPr="00D1021A">
        <w:rPr>
          <w:rFonts w:ascii="Poppins" w:eastAsia="Aptos" w:hAnsi="Poppins" w:cs="Poppins"/>
          <w:color w:val="000000" w:themeColor="text1"/>
        </w:rPr>
        <w:t>OER helfen</w:t>
      </w:r>
      <w:r w:rsidR="008375E7" w:rsidRPr="00D1021A">
        <w:rPr>
          <w:rFonts w:ascii="Poppins" w:eastAsia="Aptos" w:hAnsi="Poppins" w:cs="Poppins"/>
          <w:color w:val="000000" w:themeColor="text1"/>
        </w:rPr>
        <w:t>,</w:t>
      </w:r>
      <w:r w:rsidRPr="00D1021A">
        <w:rPr>
          <w:rFonts w:ascii="Poppins" w:eastAsia="Aptos" w:hAnsi="Poppins" w:cs="Poppins"/>
          <w:color w:val="000000" w:themeColor="text1"/>
        </w:rPr>
        <w:t xml:space="preserve"> das Engagement von Lehrenden in der Lehre aufzuzeigen und </w:t>
      </w:r>
      <w:r w:rsidR="0007251D" w:rsidRPr="00D1021A">
        <w:rPr>
          <w:rFonts w:ascii="Poppins" w:eastAsia="Aptos" w:hAnsi="Poppins" w:cs="Poppins"/>
          <w:color w:val="000000" w:themeColor="text1"/>
        </w:rPr>
        <w:t xml:space="preserve">somit </w:t>
      </w:r>
      <w:r w:rsidRPr="00D1021A">
        <w:rPr>
          <w:rFonts w:ascii="Poppins" w:eastAsia="Aptos" w:hAnsi="Poppins" w:cs="Poppins"/>
          <w:color w:val="000000" w:themeColor="text1"/>
        </w:rPr>
        <w:t>den Stellenwert von Lehre zu erhöhen (</w:t>
      </w:r>
      <w:bookmarkStart w:id="49" w:name="_Hlk173916921"/>
      <w:r w:rsidRPr="00D1021A">
        <w:rPr>
          <w:rFonts w:ascii="Poppins" w:eastAsia="Aptos" w:hAnsi="Poppins" w:cs="Poppins"/>
          <w:color w:val="000000" w:themeColor="text1"/>
        </w:rPr>
        <w:t>vgl. Schröder et al., 2023, S. 254 f.</w:t>
      </w:r>
      <w:bookmarkEnd w:id="49"/>
      <w:r w:rsidRPr="00D1021A">
        <w:rPr>
          <w:rFonts w:ascii="Poppins" w:eastAsia="Aptos" w:hAnsi="Poppins" w:cs="Poppins"/>
          <w:color w:val="000000" w:themeColor="text1"/>
        </w:rPr>
        <w:t xml:space="preserve">). </w:t>
      </w:r>
    </w:p>
    <w:p w14:paraId="79A2279D" w14:textId="435450E4" w:rsidR="0040385C" w:rsidRPr="00D1021A" w:rsidRDefault="00046E90" w:rsidP="00E15806">
      <w:pPr>
        <w:pStyle w:val="Flietext"/>
        <w:numPr>
          <w:ilvl w:val="0"/>
          <w:numId w:val="3"/>
        </w:numPr>
        <w:jc w:val="left"/>
        <w:rPr>
          <w:rFonts w:ascii="Poppins" w:eastAsia="Aptos" w:hAnsi="Poppins" w:cs="Poppins"/>
          <w:color w:val="000000" w:themeColor="text1"/>
        </w:rPr>
      </w:pPr>
      <w:r w:rsidRPr="00D1021A">
        <w:rPr>
          <w:rFonts w:ascii="Poppins" w:eastAsia="Aptos" w:hAnsi="Poppins" w:cs="Poppins"/>
          <w:color w:val="000000" w:themeColor="text1"/>
        </w:rPr>
        <w:t>In der Weiterbildung stärken OER die Eigenverantwortung sowie Selbststeuerung der Lernenden (</w:t>
      </w:r>
      <w:bookmarkStart w:id="50" w:name="_Hlk173916939"/>
      <w:r w:rsidRPr="00D1021A">
        <w:rPr>
          <w:rFonts w:ascii="Poppins" w:eastAsia="Aptos" w:hAnsi="Poppins" w:cs="Poppins"/>
          <w:color w:val="000000" w:themeColor="text1"/>
        </w:rPr>
        <w:t>vgl. Grimm, 202</w:t>
      </w:r>
      <w:r w:rsidR="002C240E" w:rsidRPr="00D1021A">
        <w:rPr>
          <w:rFonts w:ascii="Poppins" w:eastAsia="Aptos" w:hAnsi="Poppins" w:cs="Poppins"/>
          <w:color w:val="000000" w:themeColor="text1"/>
        </w:rPr>
        <w:t>2</w:t>
      </w:r>
      <w:r w:rsidRPr="00D1021A">
        <w:rPr>
          <w:rFonts w:ascii="Poppins" w:eastAsia="Aptos" w:hAnsi="Poppins" w:cs="Poppins"/>
          <w:color w:val="000000" w:themeColor="text1"/>
        </w:rPr>
        <w:t>, S. 19</w:t>
      </w:r>
      <w:bookmarkEnd w:id="50"/>
      <w:r w:rsidRPr="00D1021A">
        <w:rPr>
          <w:rFonts w:ascii="Poppins" w:eastAsia="Aptos" w:hAnsi="Poppins" w:cs="Poppins"/>
          <w:color w:val="000000" w:themeColor="text1"/>
        </w:rPr>
        <w:t>).</w:t>
      </w:r>
    </w:p>
    <w:p w14:paraId="5CD6B8D4" w14:textId="77777777" w:rsidR="0040385C" w:rsidRPr="00D1021A" w:rsidRDefault="00046E90" w:rsidP="00E15806">
      <w:pPr>
        <w:pStyle w:val="Flietext"/>
        <w:numPr>
          <w:ilvl w:val="0"/>
          <w:numId w:val="3"/>
        </w:numPr>
        <w:jc w:val="left"/>
        <w:rPr>
          <w:rFonts w:ascii="Poppins" w:eastAsia="Aptos" w:hAnsi="Poppins" w:cs="Poppins"/>
          <w:color w:val="000000" w:themeColor="text1"/>
        </w:rPr>
      </w:pPr>
      <w:r w:rsidRPr="00D1021A">
        <w:rPr>
          <w:rFonts w:ascii="Poppins" w:eastAsia="Aptos" w:hAnsi="Poppins" w:cs="Poppins"/>
          <w:color w:val="000000" w:themeColor="text1"/>
        </w:rPr>
        <w:t>Durch die Auseinandersetzung mit und die Nutzung von OER werden die digitalen Kompetenzen der Lehrenden gestärkt (</w:t>
      </w:r>
      <w:bookmarkStart w:id="51" w:name="_Hlk173916961"/>
      <w:r w:rsidRPr="00D1021A">
        <w:rPr>
          <w:rFonts w:ascii="Poppins" w:eastAsia="Aptos" w:hAnsi="Poppins" w:cs="Poppins"/>
          <w:color w:val="000000" w:themeColor="text1"/>
        </w:rPr>
        <w:t xml:space="preserve">vgl. Redecker &amp; </w:t>
      </w:r>
      <w:proofErr w:type="spellStart"/>
      <w:r w:rsidRPr="00D1021A">
        <w:rPr>
          <w:rFonts w:ascii="Poppins" w:eastAsia="Aptos" w:hAnsi="Poppins" w:cs="Poppins"/>
          <w:color w:val="000000" w:themeColor="text1"/>
        </w:rPr>
        <w:t>Punie</w:t>
      </w:r>
      <w:proofErr w:type="spellEnd"/>
      <w:r w:rsidRPr="00D1021A">
        <w:rPr>
          <w:rFonts w:ascii="Poppins" w:eastAsia="Aptos" w:hAnsi="Poppins" w:cs="Poppins"/>
          <w:color w:val="000000" w:themeColor="text1"/>
        </w:rPr>
        <w:t>, 2017, S. 24</w:t>
      </w:r>
      <w:bookmarkEnd w:id="51"/>
      <w:r w:rsidRPr="00D1021A">
        <w:rPr>
          <w:rFonts w:ascii="Poppins" w:eastAsia="Aptos" w:hAnsi="Poppins" w:cs="Poppins"/>
          <w:color w:val="000000" w:themeColor="text1"/>
        </w:rPr>
        <w:t>).</w:t>
      </w:r>
    </w:p>
    <w:p w14:paraId="347D9487" w14:textId="4D94847E" w:rsidR="0040385C" w:rsidRPr="00D1021A" w:rsidRDefault="00046E90" w:rsidP="00E15806">
      <w:pPr>
        <w:pStyle w:val="Flietext"/>
        <w:numPr>
          <w:ilvl w:val="0"/>
          <w:numId w:val="3"/>
        </w:numPr>
        <w:jc w:val="left"/>
        <w:rPr>
          <w:rFonts w:ascii="Poppins" w:eastAsia="Aptos" w:hAnsi="Poppins" w:cs="Poppins"/>
          <w:color w:val="000000" w:themeColor="text1"/>
        </w:rPr>
      </w:pPr>
      <w:r w:rsidRPr="00D1021A">
        <w:rPr>
          <w:rFonts w:ascii="Poppins" w:eastAsia="Aptos" w:hAnsi="Poppins" w:cs="Poppins"/>
          <w:color w:val="000000" w:themeColor="text1"/>
        </w:rPr>
        <w:t>OER k</w:t>
      </w:r>
      <w:r w:rsidR="002D2374" w:rsidRPr="00D1021A">
        <w:rPr>
          <w:rFonts w:ascii="Poppins" w:eastAsia="Aptos" w:hAnsi="Poppins" w:cs="Poppins"/>
          <w:color w:val="000000" w:themeColor="text1"/>
        </w:rPr>
        <w:t>önnen</w:t>
      </w:r>
      <w:r w:rsidRPr="00D1021A">
        <w:rPr>
          <w:rFonts w:ascii="Poppins" w:eastAsia="Aptos" w:hAnsi="Poppins" w:cs="Poppins"/>
          <w:color w:val="000000" w:themeColor="text1"/>
        </w:rPr>
        <w:t xml:space="preserve"> dazu dienen</w:t>
      </w:r>
      <w:r w:rsidR="008375E7" w:rsidRPr="00D1021A">
        <w:rPr>
          <w:rFonts w:ascii="Poppins" w:eastAsia="Aptos" w:hAnsi="Poppins" w:cs="Poppins"/>
          <w:color w:val="000000" w:themeColor="text1"/>
        </w:rPr>
        <w:t>,</w:t>
      </w:r>
      <w:r w:rsidRPr="00D1021A">
        <w:rPr>
          <w:rFonts w:ascii="Poppins" w:eastAsia="Aptos" w:hAnsi="Poppins" w:cs="Poppins"/>
          <w:color w:val="000000" w:themeColor="text1"/>
        </w:rPr>
        <w:t xml:space="preserve"> </w:t>
      </w:r>
      <w:r w:rsidR="0007251D" w:rsidRPr="00D1021A">
        <w:rPr>
          <w:rFonts w:ascii="Poppins" w:eastAsia="Aptos" w:hAnsi="Poppins" w:cs="Poppins"/>
          <w:color w:val="000000" w:themeColor="text1"/>
        </w:rPr>
        <w:t xml:space="preserve">Unterricht und </w:t>
      </w:r>
      <w:r w:rsidRPr="00D1021A">
        <w:rPr>
          <w:rFonts w:ascii="Poppins" w:eastAsia="Aptos" w:hAnsi="Poppins" w:cs="Poppins"/>
          <w:color w:val="000000" w:themeColor="text1"/>
        </w:rPr>
        <w:t>Lehre inklusiver zu gestalten (</w:t>
      </w:r>
      <w:bookmarkStart w:id="52" w:name="_Hlk173916986"/>
      <w:r w:rsidRPr="00D1021A">
        <w:rPr>
          <w:rFonts w:ascii="Poppins" w:eastAsia="Aptos" w:hAnsi="Poppins" w:cs="Poppins"/>
          <w:color w:val="000000" w:themeColor="text1"/>
        </w:rPr>
        <w:t>vgl. Berger et al., 2023, S. 3 f.</w:t>
      </w:r>
      <w:bookmarkEnd w:id="52"/>
      <w:r w:rsidRPr="00D1021A">
        <w:rPr>
          <w:rFonts w:ascii="Poppins" w:eastAsia="Aptos" w:hAnsi="Poppins" w:cs="Poppins"/>
          <w:color w:val="000000" w:themeColor="text1"/>
        </w:rPr>
        <w:t>)</w:t>
      </w:r>
      <w:r w:rsidR="008915A9" w:rsidRPr="00D1021A">
        <w:rPr>
          <w:rFonts w:ascii="Poppins" w:eastAsia="Aptos" w:hAnsi="Poppins" w:cs="Poppins"/>
          <w:color w:val="000000" w:themeColor="text1"/>
        </w:rPr>
        <w:t>.</w:t>
      </w:r>
      <w:r w:rsidR="002D2374" w:rsidRPr="00D1021A">
        <w:rPr>
          <w:rFonts w:ascii="Poppins" w:eastAsia="Aptos" w:hAnsi="Poppins" w:cs="Poppins"/>
          <w:color w:val="000000" w:themeColor="text1"/>
        </w:rPr>
        <w:t xml:space="preserve"> </w:t>
      </w:r>
      <w:r w:rsidRPr="00D1021A">
        <w:rPr>
          <w:rFonts w:ascii="Poppins" w:eastAsia="Aptos" w:hAnsi="Poppins" w:cs="Poppins"/>
          <w:color w:val="000000" w:themeColor="text1"/>
        </w:rPr>
        <w:t>Lernmaterialien können einfacher und zeitsparender an unterschiedliche Bedarfe angepasst bzw. Individualisiert und weltweit geteilt werden.</w:t>
      </w:r>
      <w:r w:rsidR="008915A9" w:rsidRPr="00D1021A">
        <w:rPr>
          <w:rFonts w:ascii="Poppins" w:eastAsia="Aptos" w:hAnsi="Poppins" w:cs="Poppins"/>
          <w:color w:val="000000" w:themeColor="text1"/>
        </w:rPr>
        <w:t xml:space="preserve"> </w:t>
      </w:r>
      <w:r w:rsidR="00792E7A" w:rsidRPr="00D1021A">
        <w:rPr>
          <w:rFonts w:ascii="Poppins" w:eastAsia="Aptos" w:hAnsi="Poppins" w:cs="Poppins"/>
          <w:color w:val="000000" w:themeColor="text1"/>
        </w:rPr>
        <w:t>Einmal erstellte OER können von allen genutzt werden. „Das Rad“ muss daher nicht in jeder Institution sowie von jedem einzelnen immer</w:t>
      </w:r>
      <w:r w:rsidR="002D2374" w:rsidRPr="00D1021A">
        <w:rPr>
          <w:rFonts w:ascii="Poppins" w:eastAsia="Aptos" w:hAnsi="Poppins" w:cs="Poppins"/>
          <w:color w:val="000000" w:themeColor="text1"/>
        </w:rPr>
        <w:t xml:space="preserve"> wieder </w:t>
      </w:r>
      <w:r w:rsidR="00792E7A" w:rsidRPr="00D1021A">
        <w:rPr>
          <w:rFonts w:ascii="Poppins" w:eastAsia="Aptos" w:hAnsi="Poppins" w:cs="Poppins"/>
          <w:color w:val="000000" w:themeColor="text1"/>
        </w:rPr>
        <w:t>neu erfunden werden (</w:t>
      </w:r>
      <w:bookmarkStart w:id="53" w:name="_Hlk173917029"/>
      <w:r w:rsidR="00792E7A" w:rsidRPr="00D1021A">
        <w:rPr>
          <w:rFonts w:ascii="Poppins" w:eastAsia="Aptos" w:hAnsi="Poppins" w:cs="Poppins"/>
          <w:color w:val="000000" w:themeColor="text1"/>
        </w:rPr>
        <w:t>vgl. M</w:t>
      </w:r>
      <w:r w:rsidR="00582705" w:rsidRPr="00D1021A">
        <w:rPr>
          <w:rFonts w:ascii="Poppins" w:eastAsia="Aptos" w:hAnsi="Poppins" w:cs="Poppins"/>
          <w:color w:val="000000" w:themeColor="text1"/>
        </w:rPr>
        <w:t>ü</w:t>
      </w:r>
      <w:r w:rsidR="00792E7A" w:rsidRPr="00D1021A">
        <w:rPr>
          <w:rFonts w:ascii="Poppins" w:eastAsia="Aptos" w:hAnsi="Poppins" w:cs="Poppins"/>
          <w:color w:val="000000" w:themeColor="text1"/>
        </w:rPr>
        <w:t>ller, 2021</w:t>
      </w:r>
      <w:bookmarkEnd w:id="53"/>
      <w:r w:rsidR="00792E7A" w:rsidRPr="00D1021A">
        <w:rPr>
          <w:rFonts w:ascii="Poppins" w:eastAsia="Aptos" w:hAnsi="Poppins" w:cs="Poppins"/>
          <w:color w:val="000000" w:themeColor="text1"/>
        </w:rPr>
        <w:t>).</w:t>
      </w:r>
    </w:p>
    <w:p w14:paraId="50B7CE04" w14:textId="0034911B" w:rsidR="0040385C" w:rsidRPr="00D1021A" w:rsidRDefault="00046E90" w:rsidP="00E15806">
      <w:pPr>
        <w:pStyle w:val="Flietext"/>
        <w:numPr>
          <w:ilvl w:val="0"/>
          <w:numId w:val="3"/>
        </w:numPr>
        <w:jc w:val="left"/>
        <w:rPr>
          <w:rFonts w:ascii="Poppins" w:eastAsia="Aptos" w:hAnsi="Poppins" w:cs="Poppins"/>
          <w:color w:val="000000" w:themeColor="text1"/>
        </w:rPr>
      </w:pPr>
      <w:r w:rsidRPr="00D1021A">
        <w:rPr>
          <w:rFonts w:ascii="Poppins" w:eastAsia="Aptos" w:hAnsi="Poppins" w:cs="Poppins"/>
          <w:color w:val="000000" w:themeColor="text1"/>
        </w:rPr>
        <w:t>OER bieten rechtliche Sicherheit, da sie unter klaren, offenen Lizenzen veröffentlicht werden (siehe Creative Commons, 2024</w:t>
      </w:r>
      <w:r w:rsidR="00F20C85" w:rsidRPr="00D1021A">
        <w:rPr>
          <w:rFonts w:ascii="Poppins" w:eastAsia="Aptos" w:hAnsi="Poppins" w:cs="Poppins"/>
          <w:color w:val="000000" w:themeColor="text1"/>
        </w:rPr>
        <w:t>, o. S.</w:t>
      </w:r>
      <w:r w:rsidRPr="00D1021A">
        <w:rPr>
          <w:rFonts w:ascii="Poppins" w:eastAsia="Aptos" w:hAnsi="Poppins" w:cs="Poppins"/>
          <w:color w:val="000000" w:themeColor="text1"/>
        </w:rPr>
        <w:t>). Diese verhindert unbeabsichtigte Urheberrechtsverletzungen (</w:t>
      </w:r>
      <w:bookmarkStart w:id="54" w:name="_Hlk173917045"/>
      <w:r w:rsidRPr="00D1021A">
        <w:rPr>
          <w:rFonts w:ascii="Poppins" w:eastAsia="Aptos" w:hAnsi="Poppins" w:cs="Poppins"/>
          <w:color w:val="000000" w:themeColor="text1"/>
        </w:rPr>
        <w:t>vgl. Mollenhauer, 2023, o. S.</w:t>
      </w:r>
      <w:bookmarkEnd w:id="54"/>
      <w:r w:rsidR="000B2B01" w:rsidRPr="00D1021A">
        <w:rPr>
          <w:rFonts w:ascii="Poppins" w:eastAsia="Aptos" w:hAnsi="Poppins" w:cs="Poppins"/>
          <w:color w:val="000000" w:themeColor="text1"/>
        </w:rPr>
        <w:t xml:space="preserve"> / vgl. </w:t>
      </w:r>
      <w:proofErr w:type="spellStart"/>
      <w:r w:rsidR="000B2B01" w:rsidRPr="00D1021A">
        <w:rPr>
          <w:rFonts w:ascii="Poppins" w:eastAsia="Aptos" w:hAnsi="Poppins" w:cs="Poppins"/>
          <w:color w:val="000000" w:themeColor="text1"/>
        </w:rPr>
        <w:t>Atenas</w:t>
      </w:r>
      <w:proofErr w:type="spellEnd"/>
      <w:r w:rsidR="000B2B01" w:rsidRPr="00D1021A">
        <w:rPr>
          <w:rFonts w:ascii="Poppins" w:eastAsia="Aptos" w:hAnsi="Poppins" w:cs="Poppins"/>
          <w:color w:val="000000" w:themeColor="text1"/>
        </w:rPr>
        <w:t xml:space="preserve"> et al., 2024, S. 6</w:t>
      </w:r>
      <w:r w:rsidRPr="00D1021A">
        <w:rPr>
          <w:rFonts w:ascii="Poppins" w:eastAsia="Aptos" w:hAnsi="Poppins" w:cs="Poppins"/>
          <w:color w:val="000000" w:themeColor="text1"/>
        </w:rPr>
        <w:t>).</w:t>
      </w:r>
    </w:p>
    <w:p w14:paraId="36675A87" w14:textId="66DEC6B5" w:rsidR="0040385C" w:rsidRPr="00D1021A" w:rsidRDefault="00046E90" w:rsidP="00E15806">
      <w:pPr>
        <w:pStyle w:val="Flietext"/>
        <w:numPr>
          <w:ilvl w:val="0"/>
          <w:numId w:val="3"/>
        </w:numPr>
        <w:jc w:val="left"/>
        <w:rPr>
          <w:rFonts w:ascii="Poppins" w:eastAsia="Aptos" w:hAnsi="Poppins" w:cs="Poppins"/>
          <w:color w:val="000000" w:themeColor="text1"/>
        </w:rPr>
      </w:pPr>
      <w:r w:rsidRPr="00D1021A">
        <w:rPr>
          <w:rFonts w:ascii="Poppins" w:eastAsia="Aptos" w:hAnsi="Poppins" w:cs="Poppins"/>
          <w:color w:val="000000" w:themeColor="text1"/>
        </w:rPr>
        <w:lastRenderedPageBreak/>
        <w:t>Die Sicherung der Qualität von OER fördert das Markenvertrauen (</w:t>
      </w:r>
      <w:bookmarkStart w:id="55" w:name="_Hlk173917067"/>
      <w:r w:rsidRPr="00D1021A">
        <w:rPr>
          <w:rFonts w:ascii="Poppins" w:eastAsia="Aptos" w:hAnsi="Poppins" w:cs="Poppins"/>
          <w:color w:val="000000" w:themeColor="text1"/>
        </w:rPr>
        <w:t>vgl. Brückner, 2018, S. 52</w:t>
      </w:r>
      <w:bookmarkEnd w:id="55"/>
      <w:r w:rsidRPr="00D1021A">
        <w:rPr>
          <w:rFonts w:ascii="Poppins" w:eastAsia="Aptos" w:hAnsi="Poppins" w:cs="Poppins"/>
          <w:color w:val="000000" w:themeColor="text1"/>
        </w:rPr>
        <w:t>). OER können zum Marketing einer Institution, z. B. einer Hochschule beitragen</w:t>
      </w:r>
      <w:r w:rsidR="008915A9" w:rsidRPr="00D1021A">
        <w:rPr>
          <w:rFonts w:ascii="Poppins" w:eastAsia="Aptos" w:hAnsi="Poppins" w:cs="Poppins"/>
          <w:color w:val="000000" w:themeColor="text1"/>
        </w:rPr>
        <w:t xml:space="preserve">, „a taste </w:t>
      </w:r>
      <w:proofErr w:type="spellStart"/>
      <w:r w:rsidR="008915A9" w:rsidRPr="00D1021A">
        <w:rPr>
          <w:rFonts w:ascii="Poppins" w:eastAsia="Aptos" w:hAnsi="Poppins" w:cs="Poppins"/>
          <w:color w:val="000000" w:themeColor="text1"/>
        </w:rPr>
        <w:t>of</w:t>
      </w:r>
      <w:proofErr w:type="spellEnd"/>
      <w:r w:rsidR="008915A9" w:rsidRPr="00D1021A">
        <w:rPr>
          <w:rFonts w:ascii="Poppins" w:eastAsia="Aptos" w:hAnsi="Poppins" w:cs="Poppins"/>
          <w:color w:val="000000" w:themeColor="text1"/>
        </w:rPr>
        <w:t xml:space="preserve"> </w:t>
      </w:r>
      <w:proofErr w:type="spellStart"/>
      <w:r w:rsidR="008915A9" w:rsidRPr="00D1021A">
        <w:rPr>
          <w:rFonts w:ascii="Poppins" w:eastAsia="Aptos" w:hAnsi="Poppins" w:cs="Poppins"/>
          <w:color w:val="000000" w:themeColor="text1"/>
        </w:rPr>
        <w:t>what</w:t>
      </w:r>
      <w:proofErr w:type="spellEnd"/>
      <w:r w:rsidR="008915A9" w:rsidRPr="00D1021A">
        <w:rPr>
          <w:rFonts w:ascii="Poppins" w:eastAsia="Aptos" w:hAnsi="Poppins" w:cs="Poppins"/>
          <w:color w:val="000000" w:themeColor="text1"/>
        </w:rPr>
        <w:t xml:space="preserve"> </w:t>
      </w:r>
      <w:proofErr w:type="spellStart"/>
      <w:r w:rsidR="008915A9" w:rsidRPr="00D1021A">
        <w:rPr>
          <w:rFonts w:ascii="Poppins" w:eastAsia="Aptos" w:hAnsi="Poppins" w:cs="Poppins"/>
          <w:color w:val="000000" w:themeColor="text1"/>
        </w:rPr>
        <w:t>is</w:t>
      </w:r>
      <w:proofErr w:type="spellEnd"/>
      <w:r w:rsidR="008915A9" w:rsidRPr="00D1021A">
        <w:rPr>
          <w:rFonts w:ascii="Poppins" w:eastAsia="Aptos" w:hAnsi="Poppins" w:cs="Poppins"/>
          <w:color w:val="000000" w:themeColor="text1"/>
        </w:rPr>
        <w:t xml:space="preserve"> </w:t>
      </w:r>
      <w:proofErr w:type="spellStart"/>
      <w:r w:rsidR="008915A9" w:rsidRPr="00D1021A">
        <w:rPr>
          <w:rFonts w:ascii="Poppins" w:eastAsia="Aptos" w:hAnsi="Poppins" w:cs="Poppins"/>
          <w:color w:val="000000" w:themeColor="text1"/>
        </w:rPr>
        <w:t>come</w:t>
      </w:r>
      <w:proofErr w:type="spellEnd"/>
      <w:r w:rsidR="008915A9" w:rsidRPr="00D1021A">
        <w:rPr>
          <w:rFonts w:ascii="Poppins" w:eastAsia="Aptos" w:hAnsi="Poppins" w:cs="Poppins"/>
          <w:color w:val="000000" w:themeColor="text1"/>
        </w:rPr>
        <w:t>“ (</w:t>
      </w:r>
      <w:bookmarkStart w:id="56" w:name="_Hlk173917079"/>
      <w:r w:rsidR="008915A9" w:rsidRPr="00D1021A">
        <w:rPr>
          <w:rFonts w:ascii="Poppins" w:eastAsia="Aptos" w:hAnsi="Poppins" w:cs="Poppins"/>
          <w:color w:val="000000" w:themeColor="text1"/>
        </w:rPr>
        <w:t xml:space="preserve">Read &amp; </w:t>
      </w:r>
      <w:r w:rsidR="00890873" w:rsidRPr="00D1021A">
        <w:rPr>
          <w:rFonts w:ascii="Poppins" w:eastAsia="Aptos" w:hAnsi="Poppins" w:cs="Poppins"/>
          <w:color w:val="000000" w:themeColor="text1"/>
        </w:rPr>
        <w:t>Rodrigo</w:t>
      </w:r>
      <w:r w:rsidR="008915A9" w:rsidRPr="00D1021A">
        <w:rPr>
          <w:rFonts w:ascii="Poppins" w:eastAsia="Aptos" w:hAnsi="Poppins" w:cs="Poppins"/>
          <w:color w:val="000000" w:themeColor="text1"/>
        </w:rPr>
        <w:t>, 2014, S. 1</w:t>
      </w:r>
      <w:bookmarkEnd w:id="56"/>
      <w:r w:rsidR="008915A9" w:rsidRPr="00D1021A">
        <w:rPr>
          <w:rFonts w:ascii="Poppins" w:eastAsia="Aptos" w:hAnsi="Poppins" w:cs="Poppins"/>
          <w:color w:val="000000" w:themeColor="text1"/>
        </w:rPr>
        <w:t>)</w:t>
      </w:r>
      <w:r w:rsidRPr="00D1021A">
        <w:rPr>
          <w:rFonts w:ascii="Poppins" w:eastAsia="Aptos" w:hAnsi="Poppins" w:cs="Poppins"/>
          <w:color w:val="000000" w:themeColor="text1"/>
        </w:rPr>
        <w:t>. In diesem Fall können potenzielle Studierende niedrigschwellig erproben, was sie erwartet. „Offene und kostenfreie Lernarrangements werden […] außerhalb des eigentlichen Curriculums angesiedelt und sind somit Experimentierraum für interessierte Nutzerinnen und Nutzer“ (</w:t>
      </w:r>
      <w:bookmarkStart w:id="57" w:name="_Hlk173917095"/>
      <w:proofErr w:type="spellStart"/>
      <w:r w:rsidRPr="00D1021A">
        <w:rPr>
          <w:rFonts w:ascii="Poppins" w:eastAsia="Aptos" w:hAnsi="Poppins" w:cs="Poppins"/>
          <w:color w:val="000000" w:themeColor="text1"/>
        </w:rPr>
        <w:t>Deimann</w:t>
      </w:r>
      <w:proofErr w:type="spellEnd"/>
      <w:r w:rsidRPr="00D1021A">
        <w:rPr>
          <w:rFonts w:ascii="Poppins" w:eastAsia="Aptos" w:hAnsi="Poppins" w:cs="Poppins"/>
          <w:color w:val="000000" w:themeColor="text1"/>
        </w:rPr>
        <w:t>, 2012, S. 52</w:t>
      </w:r>
      <w:bookmarkEnd w:id="57"/>
      <w:r w:rsidRPr="00D1021A">
        <w:rPr>
          <w:rFonts w:ascii="Poppins" w:eastAsia="Aptos" w:hAnsi="Poppins" w:cs="Poppins"/>
          <w:color w:val="000000" w:themeColor="text1"/>
        </w:rPr>
        <w:t>).</w:t>
      </w:r>
    </w:p>
    <w:p w14:paraId="3608B62D" w14:textId="5E8FDA96" w:rsidR="0040385C" w:rsidRPr="00D1021A" w:rsidRDefault="00046E90" w:rsidP="00E55947">
      <w:pPr>
        <w:pStyle w:val="Flietext"/>
        <w:jc w:val="left"/>
        <w:rPr>
          <w:rFonts w:ascii="Poppins" w:eastAsia="Aptos" w:hAnsi="Poppins" w:cs="Poppins"/>
          <w:color w:val="000000" w:themeColor="text1"/>
        </w:rPr>
      </w:pPr>
      <w:r w:rsidRPr="00D1021A">
        <w:rPr>
          <w:rFonts w:ascii="Poppins" w:eastAsia="Aptos" w:hAnsi="Poppins" w:cs="Poppins"/>
          <w:color w:val="000000" w:themeColor="text1"/>
          <w:szCs w:val="24"/>
        </w:rPr>
        <w:t>Bei einer Betrachtung dieser aufgeführten Punkte wird deutlich, dass die Qualität der OER eine entscheidende Rolle spielt.</w:t>
      </w:r>
      <w:r w:rsidR="00FB5298" w:rsidRPr="00D1021A">
        <w:rPr>
          <w:rFonts w:ascii="Poppins" w:eastAsia="Aptos" w:hAnsi="Poppins" w:cs="Poppins"/>
          <w:color w:val="000000" w:themeColor="text1"/>
          <w:szCs w:val="24"/>
        </w:rPr>
        <w:t xml:space="preserve"> </w:t>
      </w:r>
    </w:p>
    <w:p w14:paraId="07419A9E" w14:textId="77777777" w:rsidR="0040385C" w:rsidRPr="00D1021A" w:rsidRDefault="00046E90" w:rsidP="009B614E">
      <w:pPr>
        <w:pStyle w:val="berschrift2"/>
        <w:rPr>
          <w:rFonts w:ascii="Poppins" w:eastAsia="Aptos" w:hAnsi="Poppins" w:cs="Poppins"/>
          <w:color w:val="000000" w:themeColor="text1"/>
        </w:rPr>
      </w:pPr>
      <w:bookmarkStart w:id="58" w:name="_Toc177037306"/>
      <w:r w:rsidRPr="00D1021A">
        <w:rPr>
          <w:rFonts w:ascii="Poppins" w:eastAsia="Aptos" w:hAnsi="Poppins" w:cs="Poppins"/>
          <w:color w:val="000000" w:themeColor="text1"/>
        </w:rPr>
        <w:t>Herausforderungen und Beschränkungen</w:t>
      </w:r>
      <w:bookmarkEnd w:id="58"/>
    </w:p>
    <w:p w14:paraId="7AD550B3" w14:textId="66F6B3EF" w:rsidR="0040385C" w:rsidRPr="00D1021A" w:rsidRDefault="00FB5298" w:rsidP="00E55947">
      <w:pPr>
        <w:pStyle w:val="Flietext"/>
        <w:jc w:val="left"/>
        <w:rPr>
          <w:rFonts w:ascii="Poppins" w:eastAsia="Aptos" w:hAnsi="Poppins" w:cs="Poppins"/>
          <w:color w:val="000000" w:themeColor="text1"/>
          <w14:ligatures w14:val="none"/>
        </w:rPr>
      </w:pPr>
      <w:r w:rsidRPr="00D1021A">
        <w:rPr>
          <w:rFonts w:ascii="Poppins" w:eastAsia="Aptos" w:hAnsi="Poppins" w:cs="Poppins"/>
          <w:color w:val="000000" w:themeColor="text1"/>
        </w:rPr>
        <w:t>E</w:t>
      </w:r>
      <w:r w:rsidR="00046E90" w:rsidRPr="00D1021A">
        <w:rPr>
          <w:rFonts w:ascii="Poppins" w:eastAsia="Aptos" w:hAnsi="Poppins" w:cs="Poppins"/>
          <w:color w:val="000000" w:themeColor="text1"/>
        </w:rPr>
        <w:t xml:space="preserve">s </w:t>
      </w:r>
      <w:r w:rsidRPr="00D1021A">
        <w:rPr>
          <w:rFonts w:ascii="Poppins" w:eastAsia="Aptos" w:hAnsi="Poppins" w:cs="Poppins"/>
          <w:color w:val="000000" w:themeColor="text1"/>
        </w:rPr>
        <w:t xml:space="preserve">gibt </w:t>
      </w:r>
      <w:r w:rsidR="00046E90" w:rsidRPr="00D1021A">
        <w:rPr>
          <w:rFonts w:ascii="Poppins" w:eastAsia="Aptos" w:hAnsi="Poppins" w:cs="Poppins"/>
          <w:color w:val="000000" w:themeColor="text1"/>
        </w:rPr>
        <w:t xml:space="preserve">jedoch </w:t>
      </w:r>
      <w:r w:rsidRPr="00D1021A">
        <w:rPr>
          <w:rFonts w:ascii="Poppins" w:eastAsia="Aptos" w:hAnsi="Poppins" w:cs="Poppins"/>
          <w:color w:val="000000" w:themeColor="text1"/>
        </w:rPr>
        <w:t>ebenso</w:t>
      </w:r>
      <w:r w:rsidR="00046E90" w:rsidRPr="00D1021A">
        <w:rPr>
          <w:rFonts w:ascii="Poppins" w:eastAsia="Aptos" w:hAnsi="Poppins" w:cs="Poppins"/>
          <w:color w:val="000000" w:themeColor="text1"/>
        </w:rPr>
        <w:t xml:space="preserve"> Herausforderungen und Beschränkungen im Kontext von OER</w:t>
      </w:r>
      <w:r w:rsidRPr="00D1021A">
        <w:rPr>
          <w:rFonts w:ascii="Poppins" w:eastAsia="Aptos" w:hAnsi="Poppins" w:cs="Poppins"/>
          <w:color w:val="000000" w:themeColor="text1"/>
        </w:rPr>
        <w:t>, die auch bei der Frage um die Gewährleistung der Qualität berücksichtigt werden müssen.</w:t>
      </w:r>
    </w:p>
    <w:p w14:paraId="6485D0CC" w14:textId="4562D614" w:rsidR="0040385C" w:rsidRPr="00D1021A" w:rsidRDefault="00046E90" w:rsidP="00E15806">
      <w:pPr>
        <w:pStyle w:val="Flietext"/>
        <w:numPr>
          <w:ilvl w:val="0"/>
          <w:numId w:val="11"/>
        </w:numPr>
        <w:jc w:val="left"/>
        <w:rPr>
          <w:rFonts w:ascii="Poppins" w:eastAsia="Aptos" w:hAnsi="Poppins" w:cs="Poppins"/>
          <w:color w:val="000000" w:themeColor="text1"/>
          <w14:ligatures w14:val="none"/>
        </w:rPr>
      </w:pPr>
      <w:r w:rsidRPr="00D1021A">
        <w:rPr>
          <w:rFonts w:ascii="Poppins" w:eastAsia="Aptos" w:hAnsi="Poppins" w:cs="Poppins"/>
          <w:color w:val="000000" w:themeColor="text1"/>
        </w:rPr>
        <w:t xml:space="preserve">Um OER nutzen zu können braucht es die entsprechende technische und </w:t>
      </w:r>
      <w:r w:rsidR="00CC13AA" w:rsidRPr="00D1021A">
        <w:rPr>
          <w:rFonts w:ascii="Poppins" w:eastAsia="Aptos" w:hAnsi="Poppins" w:cs="Poppins"/>
          <w:color w:val="000000" w:themeColor="text1"/>
        </w:rPr>
        <w:t>infrastrukturelle</w:t>
      </w:r>
      <w:r w:rsidRPr="00D1021A">
        <w:rPr>
          <w:rFonts w:ascii="Poppins" w:eastAsia="Aptos" w:hAnsi="Poppins" w:cs="Poppins"/>
          <w:color w:val="000000" w:themeColor="text1"/>
        </w:rPr>
        <w:t xml:space="preserve"> Ausstattung (Hard</w:t>
      </w:r>
      <w:r w:rsidR="00775657" w:rsidRPr="00D1021A">
        <w:rPr>
          <w:rFonts w:ascii="Poppins" w:eastAsia="Aptos" w:hAnsi="Poppins" w:cs="Poppins"/>
          <w:color w:val="000000" w:themeColor="text1"/>
        </w:rPr>
        <w:t>-/ggf. Soft</w:t>
      </w:r>
      <w:r w:rsidRPr="00D1021A">
        <w:rPr>
          <w:rFonts w:ascii="Poppins" w:eastAsia="Aptos" w:hAnsi="Poppins" w:cs="Poppins"/>
          <w:color w:val="000000" w:themeColor="text1"/>
        </w:rPr>
        <w:t xml:space="preserve">ware, Zugang zum Internet). Dies gilt für den privaten Raum </w:t>
      </w:r>
      <w:r w:rsidR="00772CA9" w:rsidRPr="00D1021A">
        <w:rPr>
          <w:rFonts w:ascii="Poppins" w:eastAsia="Aptos" w:hAnsi="Poppins" w:cs="Poppins"/>
          <w:color w:val="000000" w:themeColor="text1"/>
        </w:rPr>
        <w:t>sowie</w:t>
      </w:r>
      <w:r w:rsidRPr="00D1021A">
        <w:rPr>
          <w:rFonts w:ascii="Poppins" w:eastAsia="Aptos" w:hAnsi="Poppins" w:cs="Poppins"/>
          <w:color w:val="000000" w:themeColor="text1"/>
        </w:rPr>
        <w:t xml:space="preserve"> für institutionelle Kontexte (</w:t>
      </w:r>
      <w:bookmarkStart w:id="59" w:name="_Hlk173918102"/>
      <w:r w:rsidRPr="00D1021A">
        <w:rPr>
          <w:rFonts w:ascii="Poppins" w:eastAsia="Aptos" w:hAnsi="Poppins" w:cs="Poppins"/>
          <w:color w:val="000000" w:themeColor="text1"/>
        </w:rPr>
        <w:t xml:space="preserve">vgl. </w:t>
      </w:r>
      <w:proofErr w:type="spellStart"/>
      <w:r w:rsidRPr="00D1021A">
        <w:rPr>
          <w:rFonts w:ascii="Poppins" w:eastAsia="Aptos" w:hAnsi="Poppins" w:cs="Poppins"/>
          <w:color w:val="000000" w:themeColor="text1"/>
        </w:rPr>
        <w:t>Hofhues</w:t>
      </w:r>
      <w:proofErr w:type="spellEnd"/>
      <w:r w:rsidRPr="00D1021A">
        <w:rPr>
          <w:rFonts w:ascii="Poppins" w:eastAsia="Aptos" w:hAnsi="Poppins" w:cs="Poppins"/>
          <w:color w:val="000000" w:themeColor="text1"/>
        </w:rPr>
        <w:t>, 2021, S. 2</w:t>
      </w:r>
      <w:bookmarkEnd w:id="59"/>
      <w:r w:rsidRPr="00D1021A">
        <w:rPr>
          <w:rFonts w:ascii="Poppins" w:eastAsia="Aptos" w:hAnsi="Poppins" w:cs="Poppins"/>
          <w:color w:val="000000" w:themeColor="text1"/>
        </w:rPr>
        <w:t>). Dies stellt im Besonderen für Nutzende aus Entwicklungsländern oftmals eine erhebliche Zugangsbeschränkung dar (</w:t>
      </w:r>
      <w:bookmarkStart w:id="60" w:name="_Hlk173918133"/>
      <w:r w:rsidRPr="00D1021A">
        <w:rPr>
          <w:rFonts w:ascii="Poppins" w:eastAsia="Aptos" w:hAnsi="Poppins" w:cs="Poppins"/>
          <w:color w:val="000000" w:themeColor="text1"/>
        </w:rPr>
        <w:t>vg</w:t>
      </w:r>
      <w:r w:rsidR="00D55196" w:rsidRPr="00D1021A">
        <w:rPr>
          <w:rFonts w:ascii="Poppins" w:eastAsia="Aptos" w:hAnsi="Poppins" w:cs="Poppins"/>
          <w:color w:val="000000" w:themeColor="text1"/>
        </w:rPr>
        <w:t>l</w:t>
      </w:r>
      <w:r w:rsidRPr="00D1021A">
        <w:rPr>
          <w:rFonts w:ascii="Poppins" w:eastAsia="Aptos" w:hAnsi="Poppins" w:cs="Poppins"/>
          <w:color w:val="000000" w:themeColor="text1"/>
        </w:rPr>
        <w:t xml:space="preserve">. </w:t>
      </w:r>
      <w:proofErr w:type="spellStart"/>
      <w:r w:rsidRPr="00D1021A">
        <w:rPr>
          <w:rFonts w:ascii="Poppins" w:eastAsia="Aptos" w:hAnsi="Poppins" w:cs="Poppins"/>
          <w:color w:val="000000" w:themeColor="text1"/>
        </w:rPr>
        <w:t>McGreal</w:t>
      </w:r>
      <w:proofErr w:type="spellEnd"/>
      <w:r w:rsidRPr="00D1021A">
        <w:rPr>
          <w:rFonts w:ascii="Poppins" w:eastAsia="Aptos" w:hAnsi="Poppins" w:cs="Poppins"/>
          <w:color w:val="000000" w:themeColor="text1"/>
        </w:rPr>
        <w:t xml:space="preserve"> et a</w:t>
      </w:r>
      <w:r w:rsidR="00E4128D" w:rsidRPr="00D1021A">
        <w:rPr>
          <w:rFonts w:ascii="Poppins" w:eastAsia="Aptos" w:hAnsi="Poppins" w:cs="Poppins"/>
          <w:color w:val="000000" w:themeColor="text1"/>
        </w:rPr>
        <w:t>l</w:t>
      </w:r>
      <w:r w:rsidRPr="00D1021A">
        <w:rPr>
          <w:rFonts w:ascii="Poppins" w:eastAsia="Aptos" w:hAnsi="Poppins" w:cs="Poppins"/>
          <w:color w:val="000000" w:themeColor="text1"/>
        </w:rPr>
        <w:t>., 2013, S. 196</w:t>
      </w:r>
      <w:bookmarkEnd w:id="60"/>
      <w:r w:rsidRPr="00D1021A">
        <w:rPr>
          <w:rFonts w:ascii="Poppins" w:eastAsia="Aptos" w:hAnsi="Poppins" w:cs="Poppins"/>
          <w:color w:val="000000" w:themeColor="text1"/>
        </w:rPr>
        <w:t>). Doch das Problem de</w:t>
      </w:r>
      <w:r w:rsidR="004C0906" w:rsidRPr="00D1021A">
        <w:rPr>
          <w:rFonts w:ascii="Poppins" w:eastAsia="Aptos" w:hAnsi="Poppins" w:cs="Poppins"/>
          <w:color w:val="000000" w:themeColor="text1"/>
        </w:rPr>
        <w:t>s</w:t>
      </w:r>
      <w:r w:rsidRPr="00D1021A">
        <w:rPr>
          <w:rFonts w:ascii="Poppins" w:eastAsia="Aptos" w:hAnsi="Poppins" w:cs="Poppins"/>
          <w:color w:val="000000" w:themeColor="text1"/>
        </w:rPr>
        <w:t xml:space="preserve"> ungleichen Zugangs ist auch ein Problem moderner Industriestaaten. In der Zeit der Corona-Pandemie wurde die unzureichende technische Ausstattung von </w:t>
      </w:r>
      <w:r w:rsidRPr="00D1021A">
        <w:rPr>
          <w:rFonts w:ascii="Poppins" w:eastAsia="Aptos" w:hAnsi="Poppins" w:cs="Poppins"/>
          <w:color w:val="000000" w:themeColor="text1"/>
        </w:rPr>
        <w:lastRenderedPageBreak/>
        <w:t>Kindern und Jugendlichen aus bildungsfernen Milieus und der kinderreichen Mittelschicht besonders deutlich (</w:t>
      </w:r>
      <w:bookmarkStart w:id="61" w:name="_Hlk173918152"/>
      <w:r w:rsidRPr="00D1021A">
        <w:rPr>
          <w:rFonts w:ascii="Poppins" w:eastAsia="Aptos" w:hAnsi="Poppins" w:cs="Poppins"/>
          <w:color w:val="000000" w:themeColor="text1"/>
        </w:rPr>
        <w:t xml:space="preserve">vgl. </w:t>
      </w:r>
      <w:proofErr w:type="spellStart"/>
      <w:r w:rsidRPr="00D1021A">
        <w:rPr>
          <w:rFonts w:ascii="Poppins" w:eastAsia="Aptos" w:hAnsi="Poppins" w:cs="Poppins"/>
          <w:color w:val="000000" w:themeColor="text1"/>
        </w:rPr>
        <w:t>Raehlmann</w:t>
      </w:r>
      <w:proofErr w:type="spellEnd"/>
      <w:r w:rsidRPr="00D1021A">
        <w:rPr>
          <w:rFonts w:ascii="Poppins" w:eastAsia="Aptos" w:hAnsi="Poppins" w:cs="Poppins"/>
          <w:color w:val="000000" w:themeColor="text1"/>
        </w:rPr>
        <w:t>, 2022, S. 28</w:t>
      </w:r>
      <w:bookmarkEnd w:id="61"/>
      <w:r w:rsidRPr="00D1021A">
        <w:rPr>
          <w:rFonts w:ascii="Poppins" w:eastAsia="Aptos" w:hAnsi="Poppins" w:cs="Poppins"/>
          <w:color w:val="000000" w:themeColor="text1"/>
        </w:rPr>
        <w:t>).</w:t>
      </w:r>
    </w:p>
    <w:p w14:paraId="7CA7FFFE" w14:textId="0FF59B79" w:rsidR="0040385C" w:rsidRPr="00D1021A" w:rsidRDefault="00046E90" w:rsidP="00E15806">
      <w:pPr>
        <w:pStyle w:val="Flietext"/>
        <w:numPr>
          <w:ilvl w:val="0"/>
          <w:numId w:val="11"/>
        </w:numPr>
        <w:jc w:val="left"/>
        <w:rPr>
          <w:rFonts w:ascii="Poppins" w:eastAsia="Aptos" w:hAnsi="Poppins" w:cs="Poppins"/>
          <w:color w:val="000000" w:themeColor="text1"/>
          <w14:ligatures w14:val="none"/>
        </w:rPr>
      </w:pPr>
      <w:r w:rsidRPr="00D1021A">
        <w:rPr>
          <w:rFonts w:ascii="Poppins" w:eastAsia="Aptos" w:hAnsi="Poppins" w:cs="Poppins"/>
          <w:color w:val="000000" w:themeColor="text1"/>
        </w:rPr>
        <w:t xml:space="preserve">Die lebensweltlichen Bedingungen unterstützen die tatsächliche Nutzung von OER oder stellen Barrieren dar. </w:t>
      </w:r>
      <w:proofErr w:type="spellStart"/>
      <w:r w:rsidRPr="00D1021A">
        <w:rPr>
          <w:rFonts w:ascii="Poppins" w:eastAsia="Aptos" w:hAnsi="Poppins" w:cs="Poppins"/>
          <w:color w:val="000000" w:themeColor="text1"/>
        </w:rPr>
        <w:t>Hofhues</w:t>
      </w:r>
      <w:proofErr w:type="spellEnd"/>
      <w:r w:rsidRPr="00D1021A">
        <w:rPr>
          <w:rFonts w:ascii="Poppins" w:eastAsia="Aptos" w:hAnsi="Poppins" w:cs="Poppins"/>
          <w:color w:val="000000" w:themeColor="text1"/>
        </w:rPr>
        <w:t xml:space="preserve">, Altenrath, </w:t>
      </w:r>
      <w:proofErr w:type="spellStart"/>
      <w:r w:rsidRPr="00D1021A">
        <w:rPr>
          <w:rFonts w:ascii="Poppins" w:eastAsia="Aptos" w:hAnsi="Poppins" w:cs="Poppins"/>
          <w:color w:val="000000" w:themeColor="text1"/>
        </w:rPr>
        <w:t>Habla</w:t>
      </w:r>
      <w:proofErr w:type="spellEnd"/>
      <w:r w:rsidRPr="00D1021A">
        <w:rPr>
          <w:rFonts w:ascii="Poppins" w:eastAsia="Aptos" w:hAnsi="Poppins" w:cs="Poppins"/>
          <w:color w:val="000000" w:themeColor="text1"/>
        </w:rPr>
        <w:t xml:space="preserve"> </w:t>
      </w:r>
      <w:r w:rsidR="00D55196" w:rsidRPr="00D1021A">
        <w:rPr>
          <w:rFonts w:ascii="Poppins" w:eastAsia="Aptos" w:hAnsi="Poppins" w:cs="Poppins"/>
          <w:color w:val="000000" w:themeColor="text1"/>
        </w:rPr>
        <w:t>und</w:t>
      </w:r>
      <w:r w:rsidRPr="00D1021A">
        <w:rPr>
          <w:rFonts w:ascii="Poppins" w:eastAsia="Aptos" w:hAnsi="Poppins" w:cs="Poppins"/>
          <w:color w:val="000000" w:themeColor="text1"/>
        </w:rPr>
        <w:t xml:space="preserve"> </w:t>
      </w:r>
      <w:proofErr w:type="spellStart"/>
      <w:r w:rsidRPr="00D1021A">
        <w:rPr>
          <w:rFonts w:ascii="Poppins" w:eastAsia="Aptos" w:hAnsi="Poppins" w:cs="Poppins"/>
          <w:color w:val="000000" w:themeColor="text1"/>
        </w:rPr>
        <w:t>Piske</w:t>
      </w:r>
      <w:proofErr w:type="spellEnd"/>
      <w:r w:rsidRPr="00D1021A">
        <w:rPr>
          <w:rFonts w:ascii="Poppins" w:eastAsia="Aptos" w:hAnsi="Poppins" w:cs="Poppins"/>
          <w:color w:val="000000" w:themeColor="text1"/>
        </w:rPr>
        <w:t xml:space="preserve"> (2021) unterscheiden zwischen dem Zugang zu OER, was die technischen und infrastrukturellen Rahmenbedingungen beschreibt, und dem Zugriff auf OER. Hier sehen sie die Notwendigkeit</w:t>
      </w:r>
      <w:r w:rsidR="00775657" w:rsidRPr="00D1021A">
        <w:rPr>
          <w:rFonts w:ascii="Poppins" w:eastAsia="Aptos" w:hAnsi="Poppins" w:cs="Poppins"/>
          <w:color w:val="000000" w:themeColor="text1"/>
        </w:rPr>
        <w:t>,</w:t>
      </w:r>
      <w:r w:rsidRPr="00D1021A">
        <w:rPr>
          <w:rFonts w:ascii="Poppins" w:eastAsia="Aptos" w:hAnsi="Poppins" w:cs="Poppins"/>
          <w:color w:val="000000" w:themeColor="text1"/>
        </w:rPr>
        <w:t xml:space="preserve"> Lernende in ihrer Heterogenität wahrzunehmen</w:t>
      </w:r>
      <w:r w:rsidR="00586E93" w:rsidRPr="00D1021A">
        <w:rPr>
          <w:rFonts w:ascii="Poppins" w:eastAsia="Aptos" w:hAnsi="Poppins" w:cs="Poppins"/>
          <w:color w:val="000000" w:themeColor="text1"/>
        </w:rPr>
        <w:t>,</w:t>
      </w:r>
      <w:r w:rsidRPr="00D1021A">
        <w:rPr>
          <w:rFonts w:ascii="Poppins" w:eastAsia="Aptos" w:hAnsi="Poppins" w:cs="Poppins"/>
          <w:color w:val="000000" w:themeColor="text1"/>
        </w:rPr>
        <w:t xml:space="preserve"> ohne sie in der alleinigen Verantwortung zur Nutzung zu sehen (</w:t>
      </w:r>
      <w:bookmarkStart w:id="62" w:name="_Hlk173918995"/>
      <w:r w:rsidRPr="00D1021A">
        <w:rPr>
          <w:rFonts w:ascii="Poppins" w:eastAsia="Aptos" w:hAnsi="Poppins" w:cs="Poppins"/>
          <w:color w:val="000000" w:themeColor="text1"/>
        </w:rPr>
        <w:t xml:space="preserve">vgl. </w:t>
      </w:r>
      <w:proofErr w:type="spellStart"/>
      <w:r w:rsidRPr="00D1021A">
        <w:rPr>
          <w:rFonts w:ascii="Poppins" w:eastAsia="Aptos" w:hAnsi="Poppins" w:cs="Poppins"/>
          <w:color w:val="000000" w:themeColor="text1"/>
        </w:rPr>
        <w:t>Hofhues</w:t>
      </w:r>
      <w:proofErr w:type="spellEnd"/>
      <w:r w:rsidRPr="00D1021A">
        <w:rPr>
          <w:rFonts w:ascii="Poppins" w:eastAsia="Aptos" w:hAnsi="Poppins" w:cs="Poppins"/>
          <w:color w:val="000000" w:themeColor="text1"/>
        </w:rPr>
        <w:t xml:space="preserve"> et al., 2021, S. 2</w:t>
      </w:r>
      <w:bookmarkEnd w:id="62"/>
      <w:r w:rsidRPr="00D1021A">
        <w:rPr>
          <w:rFonts w:ascii="Poppins" w:eastAsia="Aptos" w:hAnsi="Poppins" w:cs="Poppins"/>
          <w:color w:val="000000" w:themeColor="text1"/>
        </w:rPr>
        <w:t>).</w:t>
      </w:r>
    </w:p>
    <w:p w14:paraId="5414A3F7" w14:textId="2671522E" w:rsidR="0040385C" w:rsidRPr="00D1021A" w:rsidRDefault="00046E90" w:rsidP="00E15806">
      <w:pPr>
        <w:pStyle w:val="Flietext"/>
        <w:numPr>
          <w:ilvl w:val="0"/>
          <w:numId w:val="11"/>
        </w:numPr>
        <w:jc w:val="left"/>
        <w:rPr>
          <w:rFonts w:ascii="Poppins" w:eastAsia="Aptos" w:hAnsi="Poppins" w:cs="Poppins"/>
          <w:color w:val="000000" w:themeColor="text1"/>
          <w14:ligatures w14:val="none"/>
        </w:rPr>
      </w:pPr>
      <w:r w:rsidRPr="00D1021A">
        <w:rPr>
          <w:rFonts w:ascii="Poppins" w:eastAsia="Aptos" w:hAnsi="Poppins" w:cs="Poppins"/>
          <w:color w:val="000000" w:themeColor="text1"/>
        </w:rPr>
        <w:t>Aufgrund der deutschen föderalen Strukturen gibt es eine Vielzahl von OER-Initiativen und Anbietenden</w:t>
      </w:r>
      <w:r w:rsidR="00CB1026" w:rsidRPr="00D1021A">
        <w:rPr>
          <w:rFonts w:ascii="Poppins" w:eastAsia="Aptos" w:hAnsi="Poppins" w:cs="Poppins"/>
          <w:color w:val="000000" w:themeColor="text1"/>
        </w:rPr>
        <w:t>, die OER bereitstellen</w:t>
      </w:r>
      <w:r w:rsidRPr="00D1021A">
        <w:rPr>
          <w:rFonts w:ascii="Poppins" w:eastAsia="Aptos" w:hAnsi="Poppins" w:cs="Poppins"/>
          <w:color w:val="000000" w:themeColor="text1"/>
        </w:rPr>
        <w:t xml:space="preserve">. </w:t>
      </w:r>
      <w:r w:rsidR="009E3E25" w:rsidRPr="00D1021A">
        <w:rPr>
          <w:rFonts w:ascii="Poppins" w:eastAsia="Aptos" w:hAnsi="Poppins" w:cs="Poppins"/>
          <w:color w:val="000000" w:themeColor="text1"/>
        </w:rPr>
        <w:t>Hieraus ergibt sich die Schwierigkeit</w:t>
      </w:r>
      <w:r w:rsidRPr="00D1021A">
        <w:rPr>
          <w:rFonts w:ascii="Poppins" w:eastAsia="Aptos" w:hAnsi="Poppins" w:cs="Poppins"/>
          <w:color w:val="000000" w:themeColor="text1"/>
        </w:rPr>
        <w:t>, den Überblick zu behalten und zu entscheiden, welche davon zuverlässig und für bestimmte Zielgruppen geeignet sind (</w:t>
      </w:r>
      <w:bookmarkStart w:id="63" w:name="_Hlk173919278"/>
      <w:r w:rsidRPr="00D1021A">
        <w:rPr>
          <w:rFonts w:ascii="Poppins" w:eastAsia="Aptos" w:hAnsi="Poppins" w:cs="Poppins"/>
          <w:color w:val="000000" w:themeColor="text1"/>
        </w:rPr>
        <w:t>vgl. ENCORE+, 2023a, S. 27 f.).</w:t>
      </w:r>
      <w:bookmarkEnd w:id="63"/>
    </w:p>
    <w:p w14:paraId="36E31BC3" w14:textId="4B07A9DE" w:rsidR="0040385C" w:rsidRPr="00D1021A" w:rsidRDefault="00586E93" w:rsidP="00E15806">
      <w:pPr>
        <w:pStyle w:val="Flietext"/>
        <w:numPr>
          <w:ilvl w:val="0"/>
          <w:numId w:val="11"/>
        </w:numPr>
        <w:jc w:val="left"/>
        <w:rPr>
          <w:rFonts w:ascii="Poppins" w:eastAsia="Aptos" w:hAnsi="Poppins" w:cs="Poppins"/>
          <w:color w:val="000000" w:themeColor="text1"/>
          <w14:ligatures w14:val="none"/>
        </w:rPr>
      </w:pPr>
      <w:r w:rsidRPr="00D1021A">
        <w:rPr>
          <w:rFonts w:ascii="Poppins" w:eastAsia="Aptos" w:hAnsi="Poppins" w:cs="Poppins"/>
          <w:color w:val="000000" w:themeColor="text1"/>
        </w:rPr>
        <w:t xml:space="preserve">In den letzten Jahren wurden vielfältige OER erarbeitet und bereitgestellt. Allerdings ist wenig über die Wiederverwendung oder </w:t>
      </w:r>
      <w:r w:rsidR="009E3E25" w:rsidRPr="00D1021A">
        <w:rPr>
          <w:rFonts w:ascii="Poppins" w:eastAsia="Aptos" w:hAnsi="Poppins" w:cs="Poppins"/>
          <w:color w:val="000000" w:themeColor="text1"/>
        </w:rPr>
        <w:t>d</w:t>
      </w:r>
      <w:r w:rsidR="00775657" w:rsidRPr="00D1021A">
        <w:rPr>
          <w:rFonts w:ascii="Poppins" w:eastAsia="Aptos" w:hAnsi="Poppins" w:cs="Poppins"/>
          <w:color w:val="000000" w:themeColor="text1"/>
        </w:rPr>
        <w:t>en</w:t>
      </w:r>
      <w:r w:rsidR="009E3E25" w:rsidRPr="00D1021A">
        <w:rPr>
          <w:rFonts w:ascii="Poppins" w:eastAsia="Aptos" w:hAnsi="Poppins" w:cs="Poppins"/>
          <w:color w:val="000000" w:themeColor="text1"/>
        </w:rPr>
        <w:t xml:space="preserve"> </w:t>
      </w:r>
      <w:r w:rsidRPr="00D1021A">
        <w:rPr>
          <w:rFonts w:ascii="Poppins" w:eastAsia="Aptos" w:hAnsi="Poppins" w:cs="Poppins"/>
          <w:color w:val="000000" w:themeColor="text1"/>
        </w:rPr>
        <w:t xml:space="preserve">Remix bekannt. Lehrende nehmen in der Regel eher die Rolle der Konsumenten als der Produzierenden ein. </w:t>
      </w:r>
      <w:r w:rsidR="004C0906" w:rsidRPr="00D1021A">
        <w:rPr>
          <w:rFonts w:ascii="Poppins" w:eastAsia="Aptos" w:hAnsi="Poppins" w:cs="Poppins"/>
          <w:color w:val="000000" w:themeColor="text1"/>
        </w:rPr>
        <w:t>Da OER frei genutzt werden können, ist eine tatsächliche Zahl der Nutzenden nicht auszumachen</w:t>
      </w:r>
      <w:r w:rsidR="00283F48" w:rsidRPr="00D1021A">
        <w:rPr>
          <w:rFonts w:ascii="Poppins" w:eastAsia="Aptos" w:hAnsi="Poppins" w:cs="Poppins"/>
          <w:color w:val="000000" w:themeColor="text1"/>
        </w:rPr>
        <w:t xml:space="preserve"> (Dark </w:t>
      </w:r>
      <w:proofErr w:type="spellStart"/>
      <w:r w:rsidR="00283F48" w:rsidRPr="00D1021A">
        <w:rPr>
          <w:rFonts w:ascii="Poppins" w:eastAsia="Aptos" w:hAnsi="Poppins" w:cs="Poppins"/>
          <w:color w:val="000000" w:themeColor="text1"/>
        </w:rPr>
        <w:t>reuse</w:t>
      </w:r>
      <w:proofErr w:type="spellEnd"/>
      <w:r w:rsidR="00283F48" w:rsidRPr="00D1021A">
        <w:rPr>
          <w:rFonts w:ascii="Poppins" w:eastAsia="Aptos" w:hAnsi="Poppins" w:cs="Poppins"/>
          <w:color w:val="000000" w:themeColor="text1"/>
        </w:rPr>
        <w:t>)</w:t>
      </w:r>
      <w:r w:rsidR="004C0906" w:rsidRPr="00D1021A">
        <w:rPr>
          <w:rFonts w:ascii="Poppins" w:eastAsia="Aptos" w:hAnsi="Poppins" w:cs="Poppins"/>
          <w:color w:val="000000" w:themeColor="text1"/>
        </w:rPr>
        <w:t>. Es ist jedoch davon auszugehen, dass diese Zahl noch steigerungsbedürftig ist (</w:t>
      </w:r>
      <w:bookmarkStart w:id="64" w:name="_Hlk173919654"/>
      <w:r w:rsidR="004C0906" w:rsidRPr="00D1021A">
        <w:rPr>
          <w:rFonts w:ascii="Poppins" w:eastAsia="Aptos" w:hAnsi="Poppins" w:cs="Poppins"/>
          <w:color w:val="000000" w:themeColor="text1"/>
        </w:rPr>
        <w:t>Otto &amp; Kerres, 2023, S. 21</w:t>
      </w:r>
      <w:r w:rsidR="00283F48" w:rsidRPr="00D1021A">
        <w:rPr>
          <w:rFonts w:ascii="Poppins" w:eastAsia="Aptos" w:hAnsi="Poppins" w:cs="Poppins"/>
          <w:color w:val="000000" w:themeColor="text1"/>
        </w:rPr>
        <w:t xml:space="preserve">/ </w:t>
      </w:r>
      <w:proofErr w:type="spellStart"/>
      <w:r w:rsidR="00283F48" w:rsidRPr="00D1021A">
        <w:rPr>
          <w:rFonts w:ascii="Poppins" w:eastAsia="Aptos" w:hAnsi="Poppins" w:cs="Poppins"/>
          <w:color w:val="000000" w:themeColor="text1"/>
        </w:rPr>
        <w:t>Beaven</w:t>
      </w:r>
      <w:proofErr w:type="spellEnd"/>
      <w:r w:rsidR="00283F48" w:rsidRPr="00D1021A">
        <w:rPr>
          <w:rFonts w:ascii="Poppins" w:eastAsia="Aptos" w:hAnsi="Poppins" w:cs="Poppins"/>
          <w:color w:val="000000" w:themeColor="text1"/>
        </w:rPr>
        <w:t>, 2018, S. 38</w:t>
      </w:r>
      <w:bookmarkEnd w:id="64"/>
      <w:r w:rsidR="00D948F5">
        <w:rPr>
          <w:rFonts w:ascii="Poppins" w:eastAsia="Aptos" w:hAnsi="Poppins" w:cs="Poppins"/>
          <w:color w:val="000000" w:themeColor="text1"/>
        </w:rPr>
        <w:t>6)</w:t>
      </w:r>
      <w:r w:rsidR="00283F48" w:rsidRPr="00D1021A">
        <w:rPr>
          <w:rFonts w:ascii="Poppins" w:eastAsia="Aptos" w:hAnsi="Poppins" w:cs="Poppins"/>
          <w:color w:val="000000" w:themeColor="text1"/>
        </w:rPr>
        <w:t>.</w:t>
      </w:r>
    </w:p>
    <w:p w14:paraId="41ACEA4C" w14:textId="7649B0B7" w:rsidR="0040385C" w:rsidRPr="00D1021A" w:rsidRDefault="00046E90" w:rsidP="00E15806">
      <w:pPr>
        <w:pStyle w:val="Flietext"/>
        <w:numPr>
          <w:ilvl w:val="0"/>
          <w:numId w:val="11"/>
        </w:numPr>
        <w:jc w:val="left"/>
        <w:rPr>
          <w:rFonts w:ascii="Poppins" w:eastAsia="Aptos" w:hAnsi="Poppins" w:cs="Poppins"/>
          <w:color w:val="000000" w:themeColor="text1"/>
          <w14:ligatures w14:val="none"/>
        </w:rPr>
      </w:pPr>
      <w:r w:rsidRPr="00D1021A">
        <w:rPr>
          <w:rFonts w:ascii="Poppins" w:eastAsia="Aptos" w:hAnsi="Poppins" w:cs="Poppins"/>
          <w:color w:val="000000" w:themeColor="text1"/>
        </w:rPr>
        <w:lastRenderedPageBreak/>
        <w:t>OER-Erstellung kostet Zeit und braucht vielfältige Kompetenzen, die auch in den vielfältigen OER-Qualitätskriterien deutlich werden</w:t>
      </w:r>
      <w:r w:rsidR="009E3E25" w:rsidRPr="00D1021A">
        <w:rPr>
          <w:rFonts w:ascii="Poppins" w:eastAsia="Aptos" w:hAnsi="Poppins" w:cs="Poppins"/>
          <w:color w:val="000000" w:themeColor="text1"/>
        </w:rPr>
        <w:t>, auf die im weiteren Verlauf</w:t>
      </w:r>
      <w:r w:rsidR="00A14F78" w:rsidRPr="00D1021A">
        <w:rPr>
          <w:rFonts w:ascii="Poppins" w:eastAsia="Aptos" w:hAnsi="Poppins" w:cs="Poppins"/>
          <w:color w:val="000000" w:themeColor="text1"/>
        </w:rPr>
        <w:t xml:space="preserve"> </w:t>
      </w:r>
      <w:r w:rsidR="009E3E25" w:rsidRPr="00D1021A">
        <w:rPr>
          <w:rFonts w:ascii="Poppins" w:eastAsia="Aptos" w:hAnsi="Poppins" w:cs="Poppins"/>
          <w:color w:val="000000" w:themeColor="text1"/>
        </w:rPr>
        <w:t>noch genauer eingegangen wird</w:t>
      </w:r>
      <w:r w:rsidRPr="00D1021A">
        <w:rPr>
          <w:rFonts w:ascii="Poppins" w:eastAsia="Aptos" w:hAnsi="Poppins" w:cs="Poppins"/>
          <w:color w:val="000000" w:themeColor="text1"/>
        </w:rPr>
        <w:t>.</w:t>
      </w:r>
    </w:p>
    <w:p w14:paraId="548F9B51" w14:textId="6ACCB1B0" w:rsidR="0040385C" w:rsidRPr="00D1021A" w:rsidRDefault="00046E90" w:rsidP="00E15806">
      <w:pPr>
        <w:pStyle w:val="Flietext"/>
        <w:numPr>
          <w:ilvl w:val="0"/>
          <w:numId w:val="11"/>
        </w:numPr>
        <w:jc w:val="left"/>
        <w:rPr>
          <w:rFonts w:ascii="Poppins" w:eastAsia="Aptos" w:hAnsi="Poppins" w:cs="Poppins"/>
          <w:color w:val="000000" w:themeColor="text1"/>
          <w14:ligatures w14:val="none"/>
        </w:rPr>
      </w:pPr>
      <w:r w:rsidRPr="00D1021A">
        <w:rPr>
          <w:rFonts w:ascii="Poppins" w:hAnsi="Poppins" w:cs="Poppins"/>
        </w:rPr>
        <w:t>Der Fokus der Lehrenden liegt häufig auf der Forschung</w:t>
      </w:r>
      <w:r w:rsidR="00CE581D" w:rsidRPr="00D1021A">
        <w:rPr>
          <w:rFonts w:ascii="Poppins" w:hAnsi="Poppins" w:cs="Poppins"/>
        </w:rPr>
        <w:t>, die mehr Ansehen genießt als die Lehre</w:t>
      </w:r>
      <w:r w:rsidRPr="00D1021A">
        <w:rPr>
          <w:rFonts w:ascii="Poppins" w:hAnsi="Poppins" w:cs="Poppins"/>
        </w:rPr>
        <w:t xml:space="preserve"> (</w:t>
      </w:r>
      <w:bookmarkStart w:id="65" w:name="_Hlk173919736"/>
      <w:r w:rsidRPr="00D1021A">
        <w:rPr>
          <w:rFonts w:ascii="Poppins" w:hAnsi="Poppins" w:cs="Poppins"/>
        </w:rPr>
        <w:t xml:space="preserve">vgl. </w:t>
      </w:r>
      <w:r w:rsidR="009176D6" w:rsidRPr="00D1021A">
        <w:rPr>
          <w:rFonts w:ascii="Poppins" w:hAnsi="Poppins" w:cs="Poppins"/>
        </w:rPr>
        <w:t>Schünemann &amp; Budde, 2018, S. 25</w:t>
      </w:r>
      <w:r w:rsidR="00CE581D" w:rsidRPr="00D1021A">
        <w:rPr>
          <w:rFonts w:ascii="Poppins" w:hAnsi="Poppins" w:cs="Poppins"/>
        </w:rPr>
        <w:t xml:space="preserve"> / Otto, 2022, S. 227</w:t>
      </w:r>
      <w:r w:rsidRPr="00D1021A">
        <w:rPr>
          <w:rFonts w:ascii="Poppins" w:hAnsi="Poppins" w:cs="Poppins"/>
        </w:rPr>
        <w:t>)</w:t>
      </w:r>
      <w:r w:rsidRPr="00D1021A">
        <w:rPr>
          <w:rFonts w:ascii="Poppins" w:eastAsia="Aptos" w:hAnsi="Poppins" w:cs="Poppins"/>
          <w:color w:val="000000" w:themeColor="text1"/>
        </w:rPr>
        <w:t xml:space="preserve">. </w:t>
      </w:r>
      <w:bookmarkEnd w:id="65"/>
      <w:r w:rsidRPr="00D1021A">
        <w:rPr>
          <w:rFonts w:ascii="Poppins" w:eastAsia="Aptos" w:hAnsi="Poppins" w:cs="Poppins"/>
          <w:color w:val="000000" w:themeColor="text1"/>
        </w:rPr>
        <w:t>Auch wenn OER das Potenzial hat</w:t>
      </w:r>
      <w:r w:rsidR="00775657" w:rsidRPr="00D1021A">
        <w:rPr>
          <w:rFonts w:ascii="Poppins" w:eastAsia="Aptos" w:hAnsi="Poppins" w:cs="Poppins"/>
          <w:color w:val="000000" w:themeColor="text1"/>
        </w:rPr>
        <w:t>,</w:t>
      </w:r>
      <w:r w:rsidRPr="00D1021A">
        <w:rPr>
          <w:rFonts w:ascii="Poppins" w:eastAsia="Aptos" w:hAnsi="Poppins" w:cs="Poppins"/>
          <w:color w:val="000000" w:themeColor="text1"/>
        </w:rPr>
        <w:t xml:space="preserve"> den Stellenwert der Lehre zu erhöhen und </w:t>
      </w:r>
      <w:r w:rsidR="00775657" w:rsidRPr="00D1021A">
        <w:rPr>
          <w:rFonts w:ascii="Poppins" w:eastAsia="Aptos" w:hAnsi="Poppins" w:cs="Poppins"/>
          <w:color w:val="000000" w:themeColor="text1"/>
        </w:rPr>
        <w:t xml:space="preserve">das </w:t>
      </w:r>
      <w:r w:rsidRPr="00D1021A">
        <w:rPr>
          <w:rFonts w:ascii="Poppins" w:eastAsia="Aptos" w:hAnsi="Poppins" w:cs="Poppins"/>
          <w:color w:val="000000" w:themeColor="text1"/>
        </w:rPr>
        <w:t>Engagement in diesem Bereich sichtbar zu machen, so wird aktuell der Einsatz in diesem Bereich noch kaum berücksichtigt. Hier fehlt der Anreiz. Bei den vielen Aufgaben, die Lehrende zu bewältigen haben, hat die Erstellung von OER daher</w:t>
      </w:r>
      <w:r w:rsidR="00775657" w:rsidRPr="00D1021A">
        <w:rPr>
          <w:rFonts w:ascii="Poppins" w:eastAsia="Aptos" w:hAnsi="Poppins" w:cs="Poppins"/>
          <w:color w:val="000000" w:themeColor="text1"/>
        </w:rPr>
        <w:t xml:space="preserve"> bislang</w:t>
      </w:r>
      <w:r w:rsidRPr="00D1021A">
        <w:rPr>
          <w:rFonts w:ascii="Poppins" w:eastAsia="Aptos" w:hAnsi="Poppins" w:cs="Poppins"/>
          <w:color w:val="000000" w:themeColor="text1"/>
        </w:rPr>
        <w:t xml:space="preserve"> </w:t>
      </w:r>
      <w:r w:rsidR="00775657" w:rsidRPr="00D1021A">
        <w:rPr>
          <w:rFonts w:ascii="Poppins" w:eastAsia="Aptos" w:hAnsi="Poppins" w:cs="Poppins"/>
          <w:color w:val="000000" w:themeColor="text1"/>
        </w:rPr>
        <w:t xml:space="preserve">keine hohe </w:t>
      </w:r>
      <w:r w:rsidR="009176D6" w:rsidRPr="00D1021A">
        <w:rPr>
          <w:rFonts w:ascii="Poppins" w:eastAsia="Aptos" w:hAnsi="Poppins" w:cs="Poppins"/>
          <w:color w:val="000000" w:themeColor="text1"/>
        </w:rPr>
        <w:t>Priorität.</w:t>
      </w:r>
    </w:p>
    <w:p w14:paraId="24464F30" w14:textId="77777777" w:rsidR="0040385C" w:rsidRPr="00D1021A" w:rsidRDefault="00046E90" w:rsidP="009B614E">
      <w:pPr>
        <w:pStyle w:val="berschrift1"/>
        <w:rPr>
          <w:rFonts w:ascii="Poppins" w:hAnsi="Poppins" w:cs="Poppins"/>
        </w:rPr>
      </w:pPr>
      <w:bookmarkStart w:id="66" w:name="_Toc177037307"/>
      <w:r w:rsidRPr="00D1021A">
        <w:rPr>
          <w:rFonts w:ascii="Poppins" w:hAnsi="Poppins" w:cs="Poppins"/>
        </w:rPr>
        <w:t>Qualität von OER</w:t>
      </w:r>
      <w:bookmarkEnd w:id="66"/>
    </w:p>
    <w:p w14:paraId="3E0FCC03" w14:textId="551C1619" w:rsidR="00FE0E91" w:rsidRPr="00D1021A" w:rsidRDefault="001B0AB3" w:rsidP="00E55947">
      <w:pPr>
        <w:pStyle w:val="Flietext"/>
        <w:jc w:val="left"/>
        <w:rPr>
          <w:rFonts w:ascii="Poppins" w:eastAsia="Aptos" w:hAnsi="Poppins" w:cs="Poppins"/>
          <w:color w:val="000000" w:themeColor="text1"/>
          <w:szCs w:val="24"/>
        </w:rPr>
      </w:pPr>
      <w:r w:rsidRPr="00D1021A">
        <w:rPr>
          <w:rFonts w:ascii="Poppins" w:hAnsi="Poppins" w:cs="Poppins"/>
        </w:rPr>
        <w:t xml:space="preserve">Nur wer Vertrauen in die Qualität hat, wird OER verwenden, weiternutzen und auch wieder bereitstellen. </w:t>
      </w:r>
      <w:r w:rsidR="00116E76" w:rsidRPr="00D1021A">
        <w:rPr>
          <w:rFonts w:ascii="Poppins" w:eastAsia="Aptos" w:hAnsi="Poppins" w:cs="Poppins"/>
          <w:color w:val="000000" w:themeColor="text1"/>
          <w:szCs w:val="24"/>
          <w14:ligatures w14:val="none"/>
        </w:rPr>
        <w:t>Das sogenannte “Not-</w:t>
      </w:r>
      <w:proofErr w:type="spellStart"/>
      <w:r w:rsidR="00116E76" w:rsidRPr="00D1021A">
        <w:rPr>
          <w:rFonts w:ascii="Poppins" w:eastAsia="Aptos" w:hAnsi="Poppins" w:cs="Poppins"/>
          <w:color w:val="000000" w:themeColor="text1"/>
          <w:szCs w:val="24"/>
          <w14:ligatures w14:val="none"/>
        </w:rPr>
        <w:t>invented</w:t>
      </w:r>
      <w:proofErr w:type="spellEnd"/>
      <w:r w:rsidR="00116E76" w:rsidRPr="00D1021A">
        <w:rPr>
          <w:rFonts w:ascii="Poppins" w:eastAsia="Aptos" w:hAnsi="Poppins" w:cs="Poppins"/>
          <w:color w:val="000000" w:themeColor="text1"/>
          <w:szCs w:val="24"/>
          <w14:ligatures w14:val="none"/>
        </w:rPr>
        <w:t>-</w:t>
      </w:r>
      <w:proofErr w:type="spellStart"/>
      <w:r w:rsidR="00116E76" w:rsidRPr="00D1021A">
        <w:rPr>
          <w:rFonts w:ascii="Poppins" w:eastAsia="Aptos" w:hAnsi="Poppins" w:cs="Poppins"/>
          <w:color w:val="000000" w:themeColor="text1"/>
          <w:szCs w:val="24"/>
          <w14:ligatures w14:val="none"/>
        </w:rPr>
        <w:t>here</w:t>
      </w:r>
      <w:proofErr w:type="spellEnd"/>
      <w:r w:rsidR="00116E76" w:rsidRPr="00D1021A">
        <w:rPr>
          <w:rFonts w:ascii="Poppins" w:eastAsia="Aptos" w:hAnsi="Poppins" w:cs="Poppins"/>
          <w:color w:val="000000" w:themeColor="text1"/>
          <w:szCs w:val="24"/>
          <w14:ligatures w14:val="none"/>
        </w:rPr>
        <w:t>-Syndrom” beschreibt die Skepsis von Lehrenden gegenüber nicht eigens erstellten Lehrinhalten und -materialien. Qualitativ hochwertige OER k</w:t>
      </w:r>
      <w:r w:rsidR="005B4BA0" w:rsidRPr="00D1021A">
        <w:rPr>
          <w:rFonts w:ascii="Poppins" w:eastAsia="Aptos" w:hAnsi="Poppins" w:cs="Poppins"/>
          <w:color w:val="000000" w:themeColor="text1"/>
          <w:szCs w:val="24"/>
          <w14:ligatures w14:val="none"/>
        </w:rPr>
        <w:t>ö</w:t>
      </w:r>
      <w:r w:rsidR="00116E76" w:rsidRPr="00D1021A">
        <w:rPr>
          <w:rFonts w:ascii="Poppins" w:eastAsia="Aptos" w:hAnsi="Poppins" w:cs="Poppins"/>
          <w:color w:val="000000" w:themeColor="text1"/>
          <w:szCs w:val="24"/>
          <w14:ligatures w14:val="none"/>
        </w:rPr>
        <w:t>nn</w:t>
      </w:r>
      <w:r w:rsidR="005B4BA0" w:rsidRPr="00D1021A">
        <w:rPr>
          <w:rFonts w:ascii="Poppins" w:eastAsia="Aptos" w:hAnsi="Poppins" w:cs="Poppins"/>
          <w:color w:val="000000" w:themeColor="text1"/>
          <w:szCs w:val="24"/>
          <w14:ligatures w14:val="none"/>
        </w:rPr>
        <w:t>en</w:t>
      </w:r>
      <w:r w:rsidR="00116E76" w:rsidRPr="00D1021A">
        <w:rPr>
          <w:rFonts w:ascii="Poppins" w:eastAsia="Aptos" w:hAnsi="Poppins" w:cs="Poppins"/>
          <w:color w:val="000000" w:themeColor="text1"/>
          <w:szCs w:val="24"/>
          <w14:ligatures w14:val="none"/>
        </w:rPr>
        <w:t xml:space="preserve"> dieser Skepsis entgegen</w:t>
      </w:r>
      <w:r w:rsidR="00116E76" w:rsidRPr="00D1021A">
        <w:rPr>
          <w:rFonts w:ascii="Poppins" w:eastAsia="Aptos" w:hAnsi="Poppins" w:cs="Poppins"/>
          <w:color w:val="000000" w:themeColor="text1"/>
          <w:szCs w:val="24"/>
        </w:rPr>
        <w:t>wirken (</w:t>
      </w:r>
      <w:bookmarkStart w:id="67" w:name="_Hlk173919820"/>
      <w:r w:rsidR="00116E76" w:rsidRPr="00D1021A">
        <w:rPr>
          <w:rFonts w:ascii="Poppins" w:eastAsia="Aptos" w:hAnsi="Poppins" w:cs="Poppins"/>
          <w:color w:val="000000" w:themeColor="text1"/>
          <w:szCs w:val="24"/>
        </w:rPr>
        <w:t>vgl. Stracke, 2013, S. 53</w:t>
      </w:r>
      <w:bookmarkEnd w:id="67"/>
      <w:r w:rsidR="00116E76" w:rsidRPr="00D1021A">
        <w:rPr>
          <w:rFonts w:ascii="Poppins" w:eastAsia="Aptos" w:hAnsi="Poppins" w:cs="Poppins"/>
          <w:color w:val="000000" w:themeColor="text1"/>
          <w:szCs w:val="24"/>
        </w:rPr>
        <w:t>).</w:t>
      </w:r>
    </w:p>
    <w:p w14:paraId="284DD1FB" w14:textId="286671C4" w:rsidR="0091685F" w:rsidRPr="00D1021A" w:rsidRDefault="0091685F" w:rsidP="00E55947">
      <w:pPr>
        <w:pStyle w:val="Flietext"/>
        <w:jc w:val="left"/>
        <w:rPr>
          <w:rFonts w:ascii="Poppins" w:eastAsia="Aptos" w:hAnsi="Poppins" w:cs="Poppins"/>
          <w:szCs w:val="24"/>
        </w:rPr>
      </w:pPr>
      <w:r w:rsidRPr="00D1021A">
        <w:rPr>
          <w:rFonts w:ascii="Poppins" w:eastAsia="Aptos" w:hAnsi="Poppins" w:cs="Poppins"/>
          <w:color w:val="000000" w:themeColor="text1"/>
          <w:szCs w:val="24"/>
        </w:rPr>
        <w:t>Wie in den vorangegangenen Kapiteln deutlich wurde, stellen OER ein besonder</w:t>
      </w:r>
      <w:r w:rsidR="005B4BA0" w:rsidRPr="00D1021A">
        <w:rPr>
          <w:rFonts w:ascii="Poppins" w:eastAsia="Aptos" w:hAnsi="Poppins" w:cs="Poppins"/>
          <w:color w:val="000000" w:themeColor="text1"/>
          <w:szCs w:val="24"/>
        </w:rPr>
        <w:t>e</w:t>
      </w:r>
      <w:r w:rsidRPr="00D1021A">
        <w:rPr>
          <w:rFonts w:ascii="Poppins" w:eastAsia="Aptos" w:hAnsi="Poppins" w:cs="Poppins"/>
          <w:color w:val="000000" w:themeColor="text1"/>
          <w:szCs w:val="24"/>
        </w:rPr>
        <w:t>s Feld da</w:t>
      </w:r>
      <w:r w:rsidR="00183D2C" w:rsidRPr="00D1021A">
        <w:rPr>
          <w:rFonts w:ascii="Poppins" w:eastAsia="Aptos" w:hAnsi="Poppins" w:cs="Poppins"/>
          <w:color w:val="000000" w:themeColor="text1"/>
          <w:szCs w:val="24"/>
        </w:rPr>
        <w:t>r</w:t>
      </w:r>
      <w:r w:rsidRPr="00D1021A">
        <w:rPr>
          <w:rFonts w:ascii="Poppins" w:eastAsia="Aptos" w:hAnsi="Poppins" w:cs="Poppins"/>
          <w:color w:val="000000" w:themeColor="text1"/>
          <w:szCs w:val="24"/>
        </w:rPr>
        <w:t xml:space="preserve">, </w:t>
      </w:r>
      <w:r w:rsidR="00F90FC3" w:rsidRPr="00D1021A">
        <w:rPr>
          <w:rFonts w:ascii="Poppins" w:eastAsia="Aptos" w:hAnsi="Poppins" w:cs="Poppins"/>
          <w:color w:val="000000" w:themeColor="text1"/>
          <w:szCs w:val="24"/>
        </w:rPr>
        <w:t>ein QMS muss diesen Besonderheiten Rechnung tragen. Als wichtiger Baustein zur Etablierung von OER sind zudem die Themen Qualifizierung zur Erstellung und Nutzung von OER zu sehen sowie damit verwoben die Ressourcenfrage.</w:t>
      </w:r>
    </w:p>
    <w:p w14:paraId="7DEEDF8C" w14:textId="4A30E554" w:rsidR="00FE0E91" w:rsidRPr="00D1021A" w:rsidRDefault="00FE0E91" w:rsidP="009B614E">
      <w:pPr>
        <w:pStyle w:val="berschrift2"/>
        <w:rPr>
          <w:rFonts w:ascii="Poppins" w:hAnsi="Poppins" w:cs="Poppins"/>
        </w:rPr>
      </w:pPr>
      <w:bookmarkStart w:id="68" w:name="_Toc177037308"/>
      <w:r w:rsidRPr="00D1021A">
        <w:rPr>
          <w:rFonts w:ascii="Poppins" w:hAnsi="Poppins" w:cs="Poppins"/>
        </w:rPr>
        <w:lastRenderedPageBreak/>
        <w:t>Besonderheiten der Qualitätssicherung von OER</w:t>
      </w:r>
      <w:bookmarkEnd w:id="68"/>
    </w:p>
    <w:p w14:paraId="6E9F1DFB" w14:textId="67813DCC" w:rsidR="008C2523" w:rsidRPr="00D1021A" w:rsidRDefault="00862822" w:rsidP="00E55947">
      <w:pPr>
        <w:pStyle w:val="Flietext"/>
        <w:jc w:val="left"/>
        <w:rPr>
          <w:rFonts w:ascii="Poppins" w:hAnsi="Poppins" w:cs="Poppins"/>
          <w:color w:val="000000" w:themeColor="text1"/>
        </w:rPr>
      </w:pPr>
      <w:r w:rsidRPr="00D1021A">
        <w:rPr>
          <w:rFonts w:ascii="Poppins" w:hAnsi="Poppins" w:cs="Poppins"/>
        </w:rPr>
        <w:t>OER leben von ihrer ständigen Veränderung. So</w:t>
      </w:r>
      <w:r w:rsidR="006530C1" w:rsidRPr="00D1021A">
        <w:rPr>
          <w:rFonts w:ascii="Poppins" w:hAnsi="Poppins" w:cs="Poppins"/>
        </w:rPr>
        <w:t xml:space="preserve"> </w:t>
      </w:r>
      <w:r w:rsidR="005B4BA0" w:rsidRPr="00D1021A">
        <w:rPr>
          <w:rFonts w:ascii="Poppins" w:hAnsi="Poppins" w:cs="Poppins"/>
        </w:rPr>
        <w:t>biet</w:t>
      </w:r>
      <w:r w:rsidRPr="00D1021A">
        <w:rPr>
          <w:rFonts w:ascii="Poppins" w:hAnsi="Poppins" w:cs="Poppins"/>
        </w:rPr>
        <w:t>en OER die große Chance, neue Wege zu gehen, sie erlauben kreative Lösungen und neue Formen der Zusammenarbeit. Diese Innovationskraft ist von entscheidender Bedeutung. Dies bedeutet aber auch, dass ein zu starres Korsett aus Strukturen diese Kreativität einschränken und der Zielsetzung von OER entgegenstehen könnte.</w:t>
      </w:r>
      <w:r w:rsidR="001706F9" w:rsidRPr="00D1021A">
        <w:rPr>
          <w:rFonts w:ascii="Poppins" w:hAnsi="Poppins" w:cs="Poppins"/>
        </w:rPr>
        <w:t xml:space="preserve"> Brückner (2018) beschreibt, wie d</w:t>
      </w:r>
      <w:r w:rsidR="008C2523" w:rsidRPr="00D1021A">
        <w:rPr>
          <w:rFonts w:ascii="Poppins" w:eastAsia="Aptos" w:hAnsi="Poppins" w:cs="Poppins"/>
          <w:szCs w:val="24"/>
        </w:rPr>
        <w:t xml:space="preserve">urch </w:t>
      </w:r>
      <w:r w:rsidR="001706F9" w:rsidRPr="00D1021A">
        <w:rPr>
          <w:rFonts w:ascii="Poppins" w:eastAsia="Aptos" w:hAnsi="Poppins" w:cs="Poppins"/>
          <w:szCs w:val="24"/>
        </w:rPr>
        <w:t>ein QMS</w:t>
      </w:r>
      <w:r w:rsidR="008C2523" w:rsidRPr="00D1021A">
        <w:rPr>
          <w:rFonts w:ascii="Poppins" w:eastAsia="Aptos" w:hAnsi="Poppins" w:cs="Poppins"/>
          <w:szCs w:val="24"/>
        </w:rPr>
        <w:t xml:space="preserve"> </w:t>
      </w:r>
      <w:r w:rsidR="001706F9" w:rsidRPr="00D1021A">
        <w:rPr>
          <w:rFonts w:ascii="Poppins" w:eastAsia="Aptos" w:hAnsi="Poppins" w:cs="Poppins"/>
          <w:szCs w:val="24"/>
        </w:rPr>
        <w:t xml:space="preserve">mit normativem Anspruch </w:t>
      </w:r>
      <w:r w:rsidR="008C2523" w:rsidRPr="00D1021A">
        <w:rPr>
          <w:rFonts w:ascii="Poppins" w:eastAsia="Aptos" w:hAnsi="Poppins" w:cs="Poppins"/>
          <w:szCs w:val="24"/>
        </w:rPr>
        <w:t>die Kultur des Teilens in den Hintergrund geraten</w:t>
      </w:r>
      <w:r w:rsidR="001706F9" w:rsidRPr="00D1021A">
        <w:rPr>
          <w:rFonts w:ascii="Poppins" w:eastAsia="Aptos" w:hAnsi="Poppins" w:cs="Poppins"/>
          <w:szCs w:val="24"/>
        </w:rPr>
        <w:t xml:space="preserve"> kann und so </w:t>
      </w:r>
      <w:r w:rsidR="008C2523" w:rsidRPr="00D1021A">
        <w:rPr>
          <w:rFonts w:ascii="Poppins" w:eastAsia="Aptos" w:hAnsi="Poppins" w:cs="Poppins"/>
          <w:szCs w:val="24"/>
        </w:rPr>
        <w:t xml:space="preserve">dem </w:t>
      </w:r>
      <w:r w:rsidR="008C2523" w:rsidRPr="00D1021A">
        <w:rPr>
          <w:rFonts w:ascii="Poppins" w:hAnsi="Poppins" w:cs="Poppins"/>
          <w:color w:val="000000" w:themeColor="text1"/>
        </w:rPr>
        <w:t xml:space="preserve">Material </w:t>
      </w:r>
      <w:r w:rsidR="005B4BA0" w:rsidRPr="00D1021A">
        <w:rPr>
          <w:rFonts w:ascii="Poppins" w:hAnsi="Poppins" w:cs="Poppins"/>
          <w:color w:val="000000" w:themeColor="text1"/>
        </w:rPr>
        <w:t xml:space="preserve">gegebenenfalls </w:t>
      </w:r>
      <w:r w:rsidR="008C2523" w:rsidRPr="00D1021A">
        <w:rPr>
          <w:rFonts w:ascii="Poppins" w:hAnsi="Poppins" w:cs="Poppins"/>
          <w:color w:val="000000" w:themeColor="text1"/>
        </w:rPr>
        <w:t>nicht nachhaltig gerecht w</w:t>
      </w:r>
      <w:r w:rsidR="001706F9" w:rsidRPr="00D1021A">
        <w:rPr>
          <w:rFonts w:ascii="Poppins" w:hAnsi="Poppins" w:cs="Poppins"/>
          <w:color w:val="000000" w:themeColor="text1"/>
        </w:rPr>
        <w:t xml:space="preserve">ird </w:t>
      </w:r>
      <w:r w:rsidR="008C2523" w:rsidRPr="00D1021A">
        <w:rPr>
          <w:rFonts w:ascii="Poppins" w:hAnsi="Poppins" w:cs="Poppins"/>
          <w:color w:val="000000" w:themeColor="text1"/>
        </w:rPr>
        <w:t>(vgl. Brücker, 2018. S. 59</w:t>
      </w:r>
      <w:r w:rsidR="00A14F78" w:rsidRPr="00D1021A">
        <w:rPr>
          <w:rFonts w:ascii="Poppins" w:hAnsi="Poppins" w:cs="Poppins"/>
          <w:color w:val="000000" w:themeColor="text1"/>
        </w:rPr>
        <w:t xml:space="preserve"> f.</w:t>
      </w:r>
      <w:r w:rsidR="008C2523" w:rsidRPr="00D1021A">
        <w:rPr>
          <w:rFonts w:ascii="Poppins" w:hAnsi="Poppins" w:cs="Poppins"/>
          <w:color w:val="000000" w:themeColor="text1"/>
        </w:rPr>
        <w:t>).</w:t>
      </w:r>
    </w:p>
    <w:p w14:paraId="66DD7486" w14:textId="18FA5213" w:rsidR="004453BA" w:rsidRPr="006416ED" w:rsidRDefault="00F90FC3" w:rsidP="00E55947">
      <w:pPr>
        <w:pStyle w:val="Flietext"/>
        <w:jc w:val="left"/>
        <w:rPr>
          <w:rFonts w:ascii="Poppins" w:hAnsi="Poppins" w:cs="Poppins"/>
          <w:lang w:val="en-US"/>
        </w:rPr>
      </w:pPr>
      <w:r w:rsidRPr="00D1021A">
        <w:rPr>
          <w:rFonts w:ascii="Poppins" w:hAnsi="Poppins" w:cs="Poppins"/>
          <w:color w:val="000000" w:themeColor="text1"/>
        </w:rPr>
        <w:t>Die Warnung vor zu starren Strukturen im OER-Kontext begleitet die Diskussion um OER schon einige Jahre</w:t>
      </w:r>
      <w:r w:rsidR="001648CB" w:rsidRPr="00D1021A">
        <w:rPr>
          <w:rFonts w:ascii="Poppins" w:hAnsi="Poppins" w:cs="Poppins"/>
          <w:color w:val="000000" w:themeColor="text1"/>
        </w:rPr>
        <w:t>, zu</w:t>
      </w:r>
      <w:r w:rsidR="004453BA" w:rsidRPr="00D1021A">
        <w:rPr>
          <w:rFonts w:ascii="Poppins" w:hAnsi="Poppins" w:cs="Poppins"/>
          <w:color w:val="000000" w:themeColor="text1"/>
        </w:rPr>
        <w:t>m</w:t>
      </w:r>
      <w:r w:rsidR="001648CB" w:rsidRPr="00D1021A">
        <w:rPr>
          <w:rFonts w:ascii="Poppins" w:hAnsi="Poppins" w:cs="Poppins"/>
          <w:color w:val="000000" w:themeColor="text1"/>
        </w:rPr>
        <w:t xml:space="preserve"> </w:t>
      </w:r>
      <w:r w:rsidR="005B4BA0" w:rsidRPr="00D1021A">
        <w:rPr>
          <w:rFonts w:ascii="Poppins" w:hAnsi="Poppins" w:cs="Poppins"/>
          <w:color w:val="000000" w:themeColor="text1"/>
        </w:rPr>
        <w:t xml:space="preserve">Beispiel zum </w:t>
      </w:r>
      <w:r w:rsidR="001648CB" w:rsidRPr="00D1021A">
        <w:rPr>
          <w:rFonts w:ascii="Poppins" w:hAnsi="Poppins" w:cs="Poppins"/>
          <w:color w:val="000000" w:themeColor="text1"/>
        </w:rPr>
        <w:t xml:space="preserve">Thema </w:t>
      </w:r>
      <w:r w:rsidR="004453BA" w:rsidRPr="00D1021A">
        <w:rPr>
          <w:rFonts w:ascii="Poppins" w:hAnsi="Poppins" w:cs="Poppins"/>
          <w:color w:val="000000" w:themeColor="text1"/>
        </w:rPr>
        <w:t>Mas</w:t>
      </w:r>
      <w:r w:rsidR="004453BA" w:rsidRPr="00D1021A">
        <w:rPr>
          <w:rFonts w:ascii="Poppins" w:hAnsi="Poppins" w:cs="Poppins"/>
        </w:rPr>
        <w:t>sive Open Online Courses (MOOCs) und OER</w:t>
      </w:r>
      <w:r w:rsidRPr="00D1021A">
        <w:rPr>
          <w:rFonts w:ascii="Poppins" w:hAnsi="Poppins" w:cs="Poppins"/>
        </w:rPr>
        <w:t xml:space="preserve">: </w:t>
      </w:r>
      <w:r w:rsidR="00FE0E91" w:rsidRPr="00D1021A">
        <w:rPr>
          <w:rFonts w:ascii="Poppins" w:hAnsi="Poppins" w:cs="Poppins"/>
        </w:rPr>
        <w:t>„</w:t>
      </w:r>
      <w:proofErr w:type="spellStart"/>
      <w:r w:rsidR="00FE0E91" w:rsidRPr="00D1021A">
        <w:rPr>
          <w:rFonts w:ascii="Poppins" w:hAnsi="Poppins" w:cs="Poppins"/>
        </w:rPr>
        <w:t>Illus</w:t>
      </w:r>
      <w:r w:rsidR="00FE0E91" w:rsidRPr="00D1021A">
        <w:rPr>
          <w:rFonts w:ascii="Poppins" w:hAnsi="Poppins" w:cs="Poppins"/>
          <w:color w:val="000000" w:themeColor="text1"/>
        </w:rPr>
        <w:t>trating</w:t>
      </w:r>
      <w:proofErr w:type="spellEnd"/>
      <w:r w:rsidR="00FE0E91" w:rsidRPr="00D1021A">
        <w:rPr>
          <w:rFonts w:ascii="Poppins" w:hAnsi="Poppins" w:cs="Poppins"/>
          <w:color w:val="000000" w:themeColor="text1"/>
        </w:rPr>
        <w:t xml:space="preserve"> </w:t>
      </w:r>
      <w:proofErr w:type="spellStart"/>
      <w:r w:rsidR="00FE0E91" w:rsidRPr="00D1021A">
        <w:rPr>
          <w:rFonts w:ascii="Poppins" w:hAnsi="Poppins" w:cs="Poppins"/>
          <w:color w:val="000000" w:themeColor="text1"/>
        </w:rPr>
        <w:t>that</w:t>
      </w:r>
      <w:proofErr w:type="spellEnd"/>
      <w:r w:rsidR="00FE0E91" w:rsidRPr="00D1021A">
        <w:rPr>
          <w:rFonts w:ascii="Poppins" w:hAnsi="Poppins" w:cs="Poppins"/>
          <w:color w:val="000000" w:themeColor="text1"/>
        </w:rPr>
        <w:t xml:space="preserve"> quality in online </w:t>
      </w:r>
      <w:proofErr w:type="spellStart"/>
      <w:r w:rsidR="00FE0E91" w:rsidRPr="00D1021A">
        <w:rPr>
          <w:rFonts w:ascii="Poppins" w:hAnsi="Poppins" w:cs="Poppins"/>
          <w:color w:val="000000" w:themeColor="text1"/>
        </w:rPr>
        <w:t>learning</w:t>
      </w:r>
      <w:proofErr w:type="spellEnd"/>
      <w:r w:rsidR="00FE0E91" w:rsidRPr="00D1021A">
        <w:rPr>
          <w:rFonts w:ascii="Poppins" w:hAnsi="Poppins" w:cs="Poppins"/>
          <w:color w:val="000000" w:themeColor="text1"/>
        </w:rPr>
        <w:t xml:space="preserve"> </w:t>
      </w:r>
      <w:proofErr w:type="spellStart"/>
      <w:r w:rsidR="00FE0E91" w:rsidRPr="00D1021A">
        <w:rPr>
          <w:rFonts w:ascii="Poppins" w:hAnsi="Poppins" w:cs="Poppins"/>
          <w:color w:val="000000" w:themeColor="text1"/>
        </w:rPr>
        <w:t>is</w:t>
      </w:r>
      <w:proofErr w:type="spellEnd"/>
      <w:r w:rsidR="00FE0E91" w:rsidRPr="00D1021A">
        <w:rPr>
          <w:rFonts w:ascii="Poppins" w:hAnsi="Poppins" w:cs="Poppins"/>
          <w:color w:val="000000" w:themeColor="text1"/>
        </w:rPr>
        <w:t xml:space="preserve"> </w:t>
      </w:r>
      <w:proofErr w:type="spellStart"/>
      <w:r w:rsidR="00FE0E91" w:rsidRPr="00D1021A">
        <w:rPr>
          <w:rFonts w:ascii="Poppins" w:hAnsi="Poppins" w:cs="Poppins"/>
          <w:color w:val="000000" w:themeColor="text1"/>
        </w:rPr>
        <w:t>as</w:t>
      </w:r>
      <w:proofErr w:type="spellEnd"/>
      <w:r w:rsidR="00FE0E91" w:rsidRPr="00D1021A">
        <w:rPr>
          <w:rFonts w:ascii="Poppins" w:hAnsi="Poppins" w:cs="Poppins"/>
          <w:color w:val="000000" w:themeColor="text1"/>
        </w:rPr>
        <w:t xml:space="preserve"> </w:t>
      </w:r>
      <w:proofErr w:type="spellStart"/>
      <w:r w:rsidR="00FE0E91" w:rsidRPr="00D1021A">
        <w:rPr>
          <w:rFonts w:ascii="Poppins" w:hAnsi="Poppins" w:cs="Poppins"/>
          <w:color w:val="000000" w:themeColor="text1"/>
        </w:rPr>
        <w:t>complex</w:t>
      </w:r>
      <w:proofErr w:type="spellEnd"/>
      <w:r w:rsidR="00FE0E91" w:rsidRPr="00D1021A">
        <w:rPr>
          <w:rFonts w:ascii="Poppins" w:hAnsi="Poppins" w:cs="Poppins"/>
          <w:color w:val="000000" w:themeColor="text1"/>
        </w:rPr>
        <w:t xml:space="preserve"> </w:t>
      </w:r>
      <w:proofErr w:type="spellStart"/>
      <w:r w:rsidR="00FE0E91" w:rsidRPr="00D1021A">
        <w:rPr>
          <w:rFonts w:ascii="Poppins" w:hAnsi="Poppins" w:cs="Poppins"/>
          <w:color w:val="000000" w:themeColor="text1"/>
        </w:rPr>
        <w:t>as</w:t>
      </w:r>
      <w:proofErr w:type="spellEnd"/>
      <w:r w:rsidR="00FE0E91" w:rsidRPr="00D1021A">
        <w:rPr>
          <w:rFonts w:ascii="Poppins" w:hAnsi="Poppins" w:cs="Poppins"/>
          <w:color w:val="000000" w:themeColor="text1"/>
        </w:rPr>
        <w:t xml:space="preserve"> </w:t>
      </w:r>
      <w:proofErr w:type="spellStart"/>
      <w:r w:rsidR="00FE0E91" w:rsidRPr="00D1021A">
        <w:rPr>
          <w:rFonts w:ascii="Poppins" w:hAnsi="Poppins" w:cs="Poppins"/>
          <w:color w:val="000000" w:themeColor="text1"/>
        </w:rPr>
        <w:t>the</w:t>
      </w:r>
      <w:proofErr w:type="spellEnd"/>
      <w:r w:rsidR="00FE0E91" w:rsidRPr="00D1021A">
        <w:rPr>
          <w:rFonts w:ascii="Poppins" w:hAnsi="Poppins" w:cs="Poppins"/>
          <w:color w:val="000000" w:themeColor="text1"/>
        </w:rPr>
        <w:t xml:space="preserve"> </w:t>
      </w:r>
      <w:proofErr w:type="spellStart"/>
      <w:r w:rsidR="00FE0E91" w:rsidRPr="00D1021A">
        <w:rPr>
          <w:rFonts w:ascii="Poppins" w:hAnsi="Poppins" w:cs="Poppins"/>
          <w:color w:val="000000" w:themeColor="text1"/>
        </w:rPr>
        <w:t>reality</w:t>
      </w:r>
      <w:proofErr w:type="spellEnd"/>
      <w:r w:rsidR="00FE0E91" w:rsidRPr="00D1021A">
        <w:rPr>
          <w:rFonts w:ascii="Poppins" w:hAnsi="Poppins" w:cs="Poppins"/>
          <w:color w:val="000000" w:themeColor="text1"/>
        </w:rPr>
        <w:t xml:space="preserve"> </w:t>
      </w:r>
      <w:proofErr w:type="spellStart"/>
      <w:r w:rsidR="00FE0E91" w:rsidRPr="00D1021A">
        <w:rPr>
          <w:rFonts w:ascii="Poppins" w:hAnsi="Poppins" w:cs="Poppins"/>
          <w:color w:val="000000" w:themeColor="text1"/>
        </w:rPr>
        <w:t>of</w:t>
      </w:r>
      <w:proofErr w:type="spellEnd"/>
      <w:r w:rsidR="00FE0E91" w:rsidRPr="00D1021A">
        <w:rPr>
          <w:rFonts w:ascii="Poppins" w:hAnsi="Poppins" w:cs="Poppins"/>
          <w:color w:val="000000" w:themeColor="text1"/>
        </w:rPr>
        <w:t xml:space="preserve"> </w:t>
      </w:r>
      <w:r w:rsidR="00FE0E91" w:rsidRPr="00D1021A">
        <w:rPr>
          <w:rFonts w:ascii="Poppins" w:hAnsi="Poppins" w:cs="Poppins"/>
        </w:rPr>
        <w:t xml:space="preserve">online </w:t>
      </w:r>
      <w:proofErr w:type="spellStart"/>
      <w:r w:rsidR="00FE0E91" w:rsidRPr="00D1021A">
        <w:rPr>
          <w:rFonts w:ascii="Poppins" w:hAnsi="Poppins" w:cs="Poppins"/>
        </w:rPr>
        <w:t>learning</w:t>
      </w:r>
      <w:proofErr w:type="spellEnd"/>
      <w:r w:rsidR="00FE0E91" w:rsidRPr="00D1021A">
        <w:rPr>
          <w:rFonts w:ascii="Poppins" w:hAnsi="Poppins" w:cs="Poppins"/>
        </w:rPr>
        <w:t xml:space="preserve"> </w:t>
      </w:r>
      <w:proofErr w:type="spellStart"/>
      <w:r w:rsidR="00FE0E91" w:rsidRPr="00D1021A">
        <w:rPr>
          <w:rFonts w:ascii="Poppins" w:hAnsi="Poppins" w:cs="Poppins"/>
        </w:rPr>
        <w:t>itself</w:t>
      </w:r>
      <w:proofErr w:type="spellEnd"/>
      <w:r w:rsidR="00FE0E91" w:rsidRPr="00D1021A">
        <w:rPr>
          <w:rFonts w:ascii="Poppins" w:hAnsi="Poppins" w:cs="Poppins"/>
        </w:rPr>
        <w:t xml:space="preserve">. </w:t>
      </w:r>
      <w:r w:rsidR="00FE0E91" w:rsidRPr="006416ED">
        <w:rPr>
          <w:rFonts w:ascii="Poppins" w:hAnsi="Poppins" w:cs="Poppins"/>
          <w:lang w:val="en-US"/>
        </w:rPr>
        <w:t xml:space="preserve">It addresses new needs such as quality in MOOCs and Open Education Resources. It shows that one size does not fit all, that improving quality of student experiences is more than ever extremely important, and it warns against implementation of quality models that restrict innovation and change. These are all important issues to reflect on and </w:t>
      </w:r>
      <w:proofErr w:type="gramStart"/>
      <w:r w:rsidR="00FE0E91" w:rsidRPr="006416ED">
        <w:rPr>
          <w:rFonts w:ascii="Poppins" w:hAnsi="Poppins" w:cs="Poppins"/>
          <w:lang w:val="en-US"/>
        </w:rPr>
        <w:t>discuss“</w:t>
      </w:r>
      <w:r w:rsidR="008B71AB" w:rsidRPr="006416ED">
        <w:rPr>
          <w:rFonts w:ascii="Poppins" w:hAnsi="Poppins" w:cs="Poppins"/>
          <w:lang w:val="en-US"/>
        </w:rPr>
        <w:t xml:space="preserve"> </w:t>
      </w:r>
      <w:r w:rsidRPr="006416ED">
        <w:rPr>
          <w:rFonts w:ascii="Poppins" w:hAnsi="Poppins" w:cs="Poppins"/>
          <w:lang w:val="en-US"/>
        </w:rPr>
        <w:t>(</w:t>
      </w:r>
      <w:bookmarkStart w:id="69" w:name="_Hlk173925319"/>
      <w:proofErr w:type="spellStart"/>
      <w:proofErr w:type="gramEnd"/>
      <w:r w:rsidRPr="006416ED">
        <w:rPr>
          <w:rFonts w:ascii="Poppins" w:hAnsi="Poppins" w:cs="Poppins"/>
          <w:lang w:val="en-US"/>
        </w:rPr>
        <w:t>Ossiannilsson</w:t>
      </w:r>
      <w:proofErr w:type="spellEnd"/>
      <w:r w:rsidRPr="006416ED">
        <w:rPr>
          <w:rFonts w:ascii="Poppins" w:hAnsi="Poppins" w:cs="Poppins"/>
          <w:lang w:val="en-US"/>
        </w:rPr>
        <w:t xml:space="preserve"> et al., 2015, S. 3</w:t>
      </w:r>
      <w:bookmarkEnd w:id="69"/>
      <w:r w:rsidRPr="006416ED">
        <w:rPr>
          <w:rFonts w:ascii="Poppins" w:hAnsi="Poppins" w:cs="Poppins"/>
          <w:lang w:val="en-US"/>
        </w:rPr>
        <w:t>)</w:t>
      </w:r>
      <w:r w:rsidR="00FE0E91" w:rsidRPr="006416ED">
        <w:rPr>
          <w:rFonts w:ascii="Poppins" w:hAnsi="Poppins" w:cs="Poppins"/>
          <w:lang w:val="en-US"/>
        </w:rPr>
        <w:t>.</w:t>
      </w:r>
    </w:p>
    <w:p w14:paraId="4ECA5702" w14:textId="6CFDC589" w:rsidR="00FE0E91" w:rsidRPr="00D1021A" w:rsidRDefault="00B26CFD" w:rsidP="00E55947">
      <w:pPr>
        <w:pStyle w:val="Flietext"/>
        <w:jc w:val="left"/>
        <w:rPr>
          <w:rFonts w:ascii="Poppins" w:hAnsi="Poppins" w:cs="Poppins"/>
        </w:rPr>
      </w:pPr>
      <w:r w:rsidRPr="00D1021A">
        <w:rPr>
          <w:rFonts w:ascii="Poppins" w:hAnsi="Poppins" w:cs="Poppins"/>
        </w:rPr>
        <w:t xml:space="preserve">Brückner (2018) sieht die kollaborative und kontinuierliche Bewertung von OER als entscheidend für die „Sicherstellung der Qualität“ an: „Diese Bewertung kann bei kollaborativ erstelltem und ständig modifizierbarem </w:t>
      </w:r>
      <w:r w:rsidRPr="00D1021A">
        <w:rPr>
          <w:rFonts w:ascii="Poppins" w:hAnsi="Poppins" w:cs="Poppins"/>
        </w:rPr>
        <w:lastRenderedPageBreak/>
        <w:t>Material ebenfalls nur kollaborativ erfolgen; Qualität von OER muss kontinuierlich weiterverhandelt werden. Insbesondere bei OER ist Qualität einem fortdauernden Aushandlungsprozess unterworfen, der von den beteiligten Interessengruppen nicht festgeschrieben wird, sondern zu einem zwischenzeitlichen Konsens gerät“ (Brückner, 2018</w:t>
      </w:r>
      <w:r w:rsidR="00923E88" w:rsidRPr="00D1021A">
        <w:rPr>
          <w:rFonts w:ascii="Poppins" w:hAnsi="Poppins" w:cs="Poppins"/>
        </w:rPr>
        <w:t>,</w:t>
      </w:r>
      <w:r w:rsidRPr="00D1021A">
        <w:rPr>
          <w:rFonts w:ascii="Poppins" w:hAnsi="Poppins" w:cs="Poppins"/>
        </w:rPr>
        <w:t xml:space="preserve"> S. 58)“.</w:t>
      </w:r>
    </w:p>
    <w:p w14:paraId="60885563" w14:textId="3572E5A2" w:rsidR="0072203B" w:rsidRPr="00D1021A" w:rsidRDefault="00290F99" w:rsidP="00E55947">
      <w:pPr>
        <w:pStyle w:val="Flietext"/>
        <w:jc w:val="left"/>
        <w:rPr>
          <w:rFonts w:ascii="Poppins" w:eastAsia="Aptos" w:hAnsi="Poppins" w:cs="Poppins"/>
          <w:color w:val="000000" w:themeColor="text1"/>
          <w:szCs w:val="24"/>
          <w14:ligatures w14:val="none"/>
        </w:rPr>
      </w:pPr>
      <w:r w:rsidRPr="00D1021A">
        <w:rPr>
          <w:rFonts w:ascii="Poppins" w:eastAsia="Aptos" w:hAnsi="Poppins" w:cs="Poppins"/>
          <w:color w:val="000000" w:themeColor="text1"/>
          <w:szCs w:val="24"/>
          <w14:ligatures w14:val="none"/>
        </w:rPr>
        <w:t xml:space="preserve">Die Qualität von OER lässt sich nur mehrdimensional betrachten. </w:t>
      </w:r>
      <w:r w:rsidR="006C2EA6" w:rsidRPr="00D1021A">
        <w:rPr>
          <w:rFonts w:ascii="Poppins" w:eastAsia="Aptos" w:hAnsi="Poppins" w:cs="Poppins"/>
          <w:color w:val="000000" w:themeColor="text1"/>
          <w:szCs w:val="24"/>
          <w14:ligatures w14:val="none"/>
        </w:rPr>
        <w:t xml:space="preserve">Das </w:t>
      </w:r>
      <w:proofErr w:type="spellStart"/>
      <w:r w:rsidR="006C2EA6" w:rsidRPr="001E7009">
        <w:rPr>
          <w:rFonts w:ascii="Poppins" w:eastAsia="Aptos" w:hAnsi="Poppins" w:cs="Poppins"/>
          <w:szCs w:val="24"/>
          <w14:ligatures w14:val="none"/>
        </w:rPr>
        <w:t>Qualitäskriterienset</w:t>
      </w:r>
      <w:proofErr w:type="spellEnd"/>
      <w:r w:rsidR="006C2EA6" w:rsidRPr="001E7009">
        <w:rPr>
          <w:rFonts w:ascii="Poppins" w:eastAsia="Aptos" w:hAnsi="Poppins" w:cs="Poppins"/>
          <w:szCs w:val="24"/>
          <w14:ligatures w14:val="none"/>
        </w:rPr>
        <w:t xml:space="preserve"> von </w:t>
      </w:r>
      <w:proofErr w:type="spellStart"/>
      <w:r w:rsidR="006C2EA6" w:rsidRPr="001E7009">
        <w:rPr>
          <w:rFonts w:ascii="Poppins" w:eastAsia="Aptos" w:hAnsi="Poppins" w:cs="Poppins"/>
          <w:szCs w:val="24"/>
          <w14:ligatures w14:val="none"/>
        </w:rPr>
        <w:t>Mayrberger</w:t>
      </w:r>
      <w:proofErr w:type="spellEnd"/>
      <w:r w:rsidR="006C2EA6" w:rsidRPr="001E7009">
        <w:rPr>
          <w:rFonts w:ascii="Poppins" w:eastAsia="Aptos" w:hAnsi="Poppins" w:cs="Poppins"/>
          <w:szCs w:val="24"/>
          <w14:ligatures w14:val="none"/>
        </w:rPr>
        <w:t xml:space="preserve">, </w:t>
      </w:r>
      <w:proofErr w:type="spellStart"/>
      <w:r w:rsidR="006C2EA6" w:rsidRPr="001E7009">
        <w:rPr>
          <w:rFonts w:ascii="Poppins" w:eastAsia="Aptos" w:hAnsi="Poppins" w:cs="Poppins"/>
          <w:szCs w:val="24"/>
          <w14:ligatures w14:val="none"/>
        </w:rPr>
        <w:t>Zawacki</w:t>
      </w:r>
      <w:proofErr w:type="spellEnd"/>
      <w:r w:rsidR="006C2EA6" w:rsidRPr="001E7009">
        <w:rPr>
          <w:rFonts w:ascii="Poppins" w:eastAsia="Aptos" w:hAnsi="Poppins" w:cs="Poppins"/>
          <w:szCs w:val="24"/>
          <w14:ligatures w14:val="none"/>
        </w:rPr>
        <w:t xml:space="preserve">-Richter, </w:t>
      </w:r>
      <w:proofErr w:type="spellStart"/>
      <w:r w:rsidR="006C2EA6" w:rsidRPr="001E7009">
        <w:rPr>
          <w:rFonts w:ascii="Poppins" w:eastAsia="Aptos" w:hAnsi="Poppins" w:cs="Poppins"/>
          <w:szCs w:val="24"/>
          <w14:ligatures w14:val="none"/>
        </w:rPr>
        <w:t>Müskens</w:t>
      </w:r>
      <w:proofErr w:type="spellEnd"/>
      <w:r w:rsidR="006C2EA6" w:rsidRPr="001E7009">
        <w:rPr>
          <w:rFonts w:ascii="Poppins" w:eastAsia="Aptos" w:hAnsi="Poppins" w:cs="Poppins"/>
          <w:szCs w:val="24"/>
          <w14:ligatures w14:val="none"/>
        </w:rPr>
        <w:t xml:space="preserve"> und Dolch, auf welches sich die HOOU stützt, unterscheidet 16 Qualitätskriterien (</w:t>
      </w:r>
      <w:r w:rsidR="00F20C85" w:rsidRPr="001E7009">
        <w:rPr>
          <w:rFonts w:ascii="Poppins" w:eastAsia="Aptos" w:hAnsi="Poppins" w:cs="Poppins"/>
          <w:szCs w:val="24"/>
          <w14:ligatures w14:val="none"/>
        </w:rPr>
        <w:t xml:space="preserve">siehe </w:t>
      </w:r>
      <w:r w:rsidR="00AB6E43" w:rsidRPr="001E7009">
        <w:rPr>
          <w:rFonts w:ascii="Poppins" w:eastAsia="Aptos" w:hAnsi="Poppins" w:cs="Poppins"/>
        </w:rPr>
        <w:t>Kapitel 5.2 OER-</w:t>
      </w:r>
      <w:proofErr w:type="spellStart"/>
      <w:r w:rsidR="00AB6E43" w:rsidRPr="001E7009">
        <w:rPr>
          <w:rFonts w:ascii="Poppins" w:eastAsia="Aptos" w:hAnsi="Poppins" w:cs="Poppins"/>
        </w:rPr>
        <w:t>Qualitätskriterienset</w:t>
      </w:r>
      <w:proofErr w:type="spellEnd"/>
      <w:r w:rsidR="00AB6E43" w:rsidRPr="001E7009">
        <w:rPr>
          <w:rFonts w:ascii="Poppins" w:eastAsia="Aptos" w:hAnsi="Poppins" w:cs="Poppins"/>
        </w:rPr>
        <w:t xml:space="preserve"> (HOOU)</w:t>
      </w:r>
      <w:r w:rsidR="00F20C85" w:rsidRPr="001E7009">
        <w:rPr>
          <w:rFonts w:ascii="Poppins" w:eastAsia="Aptos" w:hAnsi="Poppins" w:cs="Poppins"/>
        </w:rPr>
        <w:t xml:space="preserve">, S. </w:t>
      </w:r>
      <w:r w:rsidR="00C96425" w:rsidRPr="001E7009">
        <w:rPr>
          <w:rFonts w:ascii="Poppins" w:eastAsia="Aptos" w:hAnsi="Poppins" w:cs="Poppins"/>
        </w:rPr>
        <w:t>33</w:t>
      </w:r>
      <w:r w:rsidR="006C2EA6" w:rsidRPr="001E7009">
        <w:rPr>
          <w:rFonts w:ascii="Poppins" w:eastAsia="Aptos" w:hAnsi="Poppins" w:cs="Poppins"/>
          <w:szCs w:val="24"/>
          <w14:ligatures w14:val="none"/>
        </w:rPr>
        <w:t xml:space="preserve">). Sie alle </w:t>
      </w:r>
      <w:r w:rsidRPr="001E7009">
        <w:rPr>
          <w:rFonts w:ascii="Poppins" w:eastAsia="Aptos" w:hAnsi="Poppins" w:cs="Poppins"/>
          <w:szCs w:val="24"/>
          <w14:ligatures w14:val="none"/>
        </w:rPr>
        <w:t xml:space="preserve">fördert die Nutzung und Weiterverbreitung der spezifischen </w:t>
      </w:r>
      <w:r w:rsidRPr="00D1021A">
        <w:rPr>
          <w:rFonts w:ascii="Poppins" w:eastAsia="Aptos" w:hAnsi="Poppins" w:cs="Poppins"/>
          <w:color w:val="000000" w:themeColor="text1"/>
          <w:szCs w:val="24"/>
          <w14:ligatures w14:val="none"/>
        </w:rPr>
        <w:t>OER und von OER im Allgemeinen.</w:t>
      </w:r>
    </w:p>
    <w:p w14:paraId="3082A6BD" w14:textId="55C49D3E" w:rsidR="00862822" w:rsidRPr="00D1021A" w:rsidRDefault="00B81684" w:rsidP="009B614E">
      <w:pPr>
        <w:pStyle w:val="berschrift2"/>
        <w:rPr>
          <w:rFonts w:ascii="Poppins" w:hAnsi="Poppins" w:cs="Poppins"/>
        </w:rPr>
      </w:pPr>
      <w:bookmarkStart w:id="70" w:name="_Toc177037309"/>
      <w:r w:rsidRPr="00D1021A">
        <w:rPr>
          <w:rFonts w:ascii="Poppins" w:hAnsi="Poppins" w:cs="Poppins"/>
        </w:rPr>
        <w:t>OER-</w:t>
      </w:r>
      <w:r w:rsidR="00862822" w:rsidRPr="00D1021A">
        <w:rPr>
          <w:rFonts w:ascii="Poppins" w:hAnsi="Poppins" w:cs="Poppins"/>
        </w:rPr>
        <w:t>Qualifizierung</w:t>
      </w:r>
      <w:bookmarkEnd w:id="70"/>
    </w:p>
    <w:p w14:paraId="0F3ACCB5" w14:textId="60D98ABD" w:rsidR="00F555AF" w:rsidRPr="00D1021A" w:rsidRDefault="00046E90" w:rsidP="00E55947">
      <w:pPr>
        <w:pStyle w:val="Flietext"/>
        <w:jc w:val="left"/>
        <w:rPr>
          <w:rFonts w:ascii="Poppins" w:hAnsi="Poppins" w:cs="Poppins"/>
        </w:rPr>
      </w:pPr>
      <w:r w:rsidRPr="00D1021A">
        <w:rPr>
          <w:rFonts w:ascii="Poppins" w:hAnsi="Poppins" w:cs="Poppins"/>
        </w:rPr>
        <w:t>Qualitativ hochwertige OER</w:t>
      </w:r>
      <w:r w:rsidR="005B4BA0" w:rsidRPr="00D1021A">
        <w:rPr>
          <w:rFonts w:ascii="Poppins" w:hAnsi="Poppins" w:cs="Poppins"/>
        </w:rPr>
        <w:t xml:space="preserve"> zu erstellen ist</w:t>
      </w:r>
      <w:r w:rsidRPr="00D1021A">
        <w:rPr>
          <w:rFonts w:ascii="Poppins" w:hAnsi="Poppins" w:cs="Poppins"/>
        </w:rPr>
        <w:t xml:space="preserve"> kein Selbstgänger</w:t>
      </w:r>
      <w:r w:rsidR="00862FEA" w:rsidRPr="00D1021A">
        <w:rPr>
          <w:rFonts w:ascii="Poppins" w:hAnsi="Poppins" w:cs="Poppins"/>
        </w:rPr>
        <w:t>. Nutzende und Erstellende benötigen je nach Kontext vielfältige Kenntnisse</w:t>
      </w:r>
      <w:r w:rsidR="006C2EA6" w:rsidRPr="00D1021A">
        <w:rPr>
          <w:rFonts w:ascii="Poppins" w:hAnsi="Poppins" w:cs="Poppins"/>
        </w:rPr>
        <w:t xml:space="preserve"> und Kompetenzen</w:t>
      </w:r>
      <w:r w:rsidR="00862FEA" w:rsidRPr="00D1021A">
        <w:rPr>
          <w:rFonts w:ascii="Poppins" w:hAnsi="Poppins" w:cs="Poppins"/>
        </w:rPr>
        <w:t>.</w:t>
      </w:r>
    </w:p>
    <w:p w14:paraId="0F22BFD8" w14:textId="3E84A1F2" w:rsidR="00862FEA" w:rsidRPr="00D1021A" w:rsidRDefault="00E82E48" w:rsidP="00ED15C1">
      <w:pPr>
        <w:pStyle w:val="Flietext"/>
        <w:jc w:val="left"/>
        <w:rPr>
          <w:rFonts w:ascii="Poppins" w:hAnsi="Poppins" w:cs="Poppins"/>
        </w:rPr>
      </w:pPr>
      <w:r w:rsidRPr="00D1021A">
        <w:rPr>
          <w:rFonts w:ascii="Poppins" w:hAnsi="Poppins" w:cs="Poppins"/>
        </w:rPr>
        <w:t>I</w:t>
      </w:r>
      <w:r w:rsidR="00ED15C1" w:rsidRPr="00D1021A">
        <w:rPr>
          <w:rFonts w:ascii="Poppins" w:hAnsi="Poppins" w:cs="Poppins"/>
        </w:rPr>
        <w:t>n</w:t>
      </w:r>
      <w:r w:rsidRPr="00D1021A">
        <w:rPr>
          <w:rFonts w:ascii="Poppins" w:hAnsi="Poppins" w:cs="Poppins"/>
        </w:rPr>
        <w:t xml:space="preserve"> Lehr-/Lernkontext</w:t>
      </w:r>
      <w:r w:rsidR="00ED15C1" w:rsidRPr="00D1021A">
        <w:rPr>
          <w:rFonts w:ascii="Poppins" w:hAnsi="Poppins" w:cs="Poppins"/>
        </w:rPr>
        <w:t>en</w:t>
      </w:r>
      <w:r w:rsidRPr="00D1021A">
        <w:rPr>
          <w:rFonts w:ascii="Poppins" w:hAnsi="Poppins" w:cs="Poppins"/>
        </w:rPr>
        <w:t xml:space="preserve"> e</w:t>
      </w:r>
      <w:r w:rsidR="006C2EA6" w:rsidRPr="00D1021A">
        <w:rPr>
          <w:rFonts w:ascii="Poppins" w:hAnsi="Poppins" w:cs="Poppins"/>
        </w:rPr>
        <w:t xml:space="preserve">rgeben sich </w:t>
      </w:r>
      <w:r w:rsidRPr="00D1021A">
        <w:rPr>
          <w:rFonts w:ascii="Poppins" w:hAnsi="Poppins" w:cs="Poppins"/>
        </w:rPr>
        <w:t>besondere Herausforderungen</w:t>
      </w:r>
      <w:r w:rsidR="00ED15C1" w:rsidRPr="00D1021A">
        <w:rPr>
          <w:rFonts w:ascii="Poppins" w:hAnsi="Poppins" w:cs="Poppins"/>
        </w:rPr>
        <w:t>. Einerseits wirken OER „</w:t>
      </w:r>
      <w:r w:rsidR="00862FEA" w:rsidRPr="00D1021A">
        <w:rPr>
          <w:rFonts w:ascii="Poppins" w:hAnsi="Poppins" w:cs="Poppins"/>
        </w:rPr>
        <w:t>entlastend für Lehrende, wenn Arbeitsstunden nicht mehr für die Abänderung bzw. Neubeschaffung von Lehrmaterial aufgewendet werden müssen und freiwerdende Ressourcen durch Betreuung der Lernenden verwendet werden können. Auf der anderen Seite</w:t>
      </w:r>
      <w:r w:rsidR="00F010FC" w:rsidRPr="00D1021A">
        <w:rPr>
          <w:rFonts w:ascii="Poppins" w:hAnsi="Poppins" w:cs="Poppins"/>
        </w:rPr>
        <w:t xml:space="preserve"> erzeugen </w:t>
      </w:r>
      <w:r w:rsidR="00862FEA" w:rsidRPr="00D1021A">
        <w:rPr>
          <w:rFonts w:ascii="Poppins" w:hAnsi="Poppins" w:cs="Poppins"/>
        </w:rPr>
        <w:t xml:space="preserve">OER jedoch </w:t>
      </w:r>
      <w:r w:rsidR="00F010FC" w:rsidRPr="00D1021A">
        <w:rPr>
          <w:rFonts w:ascii="Poppins" w:hAnsi="Poppins" w:cs="Poppins"/>
        </w:rPr>
        <w:t xml:space="preserve">Aufwand für </w:t>
      </w:r>
      <w:r w:rsidR="00862FEA" w:rsidRPr="00D1021A">
        <w:rPr>
          <w:rFonts w:ascii="Poppins" w:hAnsi="Poppins" w:cs="Poppins"/>
        </w:rPr>
        <w:t xml:space="preserve">Lehrende, indem </w:t>
      </w:r>
      <w:r w:rsidR="005B4BA0" w:rsidRPr="00D1021A">
        <w:rPr>
          <w:rFonts w:ascii="Poppins" w:hAnsi="Poppins" w:cs="Poppins"/>
        </w:rPr>
        <w:t xml:space="preserve">diese </w:t>
      </w:r>
      <w:r w:rsidR="00862FEA" w:rsidRPr="00D1021A">
        <w:rPr>
          <w:rFonts w:ascii="Poppins" w:hAnsi="Poppins" w:cs="Poppins"/>
        </w:rPr>
        <w:t>Material</w:t>
      </w:r>
      <w:r w:rsidR="006530C1" w:rsidRPr="00D1021A">
        <w:rPr>
          <w:rFonts w:ascii="Poppins" w:hAnsi="Poppins" w:cs="Poppins"/>
        </w:rPr>
        <w:t>ien</w:t>
      </w:r>
      <w:r w:rsidR="00862FEA" w:rsidRPr="00D1021A">
        <w:rPr>
          <w:rFonts w:ascii="Poppins" w:hAnsi="Poppins" w:cs="Poppins"/>
        </w:rPr>
        <w:t xml:space="preserve"> medienkompetent und kritisch bewerten müssen. Wichtig werden unter </w:t>
      </w:r>
      <w:r w:rsidR="00862FEA" w:rsidRPr="00D1021A">
        <w:rPr>
          <w:rFonts w:ascii="Poppins" w:hAnsi="Poppins" w:cs="Poppins"/>
        </w:rPr>
        <w:lastRenderedPageBreak/>
        <w:t>anderem Einschätzungen inhaltlicher Richtigkeit, Einordnungen hinsichtlich getroffener Zielsetzungen oder die Passung zur eigenen Lehre. Auch auf Seite der Lernenden ist eine entsprechende Medienkompetenz erforderlich“</w:t>
      </w:r>
      <w:r w:rsidRPr="00D1021A">
        <w:rPr>
          <w:rFonts w:ascii="Poppins" w:hAnsi="Poppins" w:cs="Poppins"/>
        </w:rPr>
        <w:t xml:space="preserve"> (</w:t>
      </w:r>
      <w:proofErr w:type="spellStart"/>
      <w:r w:rsidRPr="00D1021A">
        <w:rPr>
          <w:rFonts w:ascii="Poppins" w:hAnsi="Poppins" w:cs="Poppins"/>
        </w:rPr>
        <w:t>Hofhues</w:t>
      </w:r>
      <w:proofErr w:type="spellEnd"/>
      <w:r w:rsidRPr="00D1021A">
        <w:rPr>
          <w:rFonts w:ascii="Poppins" w:hAnsi="Poppins" w:cs="Poppins"/>
        </w:rPr>
        <w:t xml:space="preserve"> et al., 2021, </w:t>
      </w:r>
      <w:r w:rsidR="00ED15C1" w:rsidRPr="00D1021A">
        <w:rPr>
          <w:rFonts w:ascii="Poppins" w:hAnsi="Poppins" w:cs="Poppins"/>
        </w:rPr>
        <w:t xml:space="preserve">S. </w:t>
      </w:r>
      <w:r w:rsidRPr="00D1021A">
        <w:rPr>
          <w:rFonts w:ascii="Poppins" w:hAnsi="Poppins" w:cs="Poppins"/>
        </w:rPr>
        <w:t>2</w:t>
      </w:r>
      <w:r w:rsidR="002D2374" w:rsidRPr="00D1021A">
        <w:rPr>
          <w:rFonts w:ascii="Poppins" w:hAnsi="Poppins" w:cs="Poppins"/>
        </w:rPr>
        <w:t xml:space="preserve"> f.)</w:t>
      </w:r>
      <w:r w:rsidRPr="00D1021A">
        <w:rPr>
          <w:rFonts w:ascii="Poppins" w:hAnsi="Poppins" w:cs="Poppins"/>
        </w:rPr>
        <w:t>.</w:t>
      </w:r>
      <w:r w:rsidR="008C2523" w:rsidRPr="00D1021A">
        <w:rPr>
          <w:rFonts w:ascii="Poppins" w:hAnsi="Poppins" w:cs="Poppins"/>
        </w:rPr>
        <w:t xml:space="preserve"> Gleichzeitig können Lehrkräfte auf ihre </w:t>
      </w:r>
      <w:r w:rsidR="00792E7A" w:rsidRPr="00D1021A">
        <w:rPr>
          <w:rFonts w:ascii="Poppins" w:hAnsi="Poppins" w:cs="Poppins"/>
        </w:rPr>
        <w:t xml:space="preserve">pädagogische, </w:t>
      </w:r>
      <w:r w:rsidR="008C2523" w:rsidRPr="00D1021A">
        <w:rPr>
          <w:rFonts w:ascii="Poppins" w:hAnsi="Poppins" w:cs="Poppins"/>
        </w:rPr>
        <w:t xml:space="preserve">didaktische und fachliche Expertise zurückreifen, von der auch </w:t>
      </w:r>
      <w:r w:rsidR="00ED15C1" w:rsidRPr="00D1021A">
        <w:rPr>
          <w:rFonts w:ascii="Poppins" w:hAnsi="Poppins" w:cs="Poppins"/>
        </w:rPr>
        <w:t xml:space="preserve">andere Personengruppen sowie die ganze </w:t>
      </w:r>
      <w:r w:rsidR="008C2523" w:rsidRPr="00D1021A">
        <w:rPr>
          <w:rFonts w:ascii="Poppins" w:hAnsi="Poppins" w:cs="Poppins"/>
        </w:rPr>
        <w:t>OER-</w:t>
      </w:r>
      <w:r w:rsidR="00ED15C1" w:rsidRPr="00D1021A">
        <w:rPr>
          <w:rFonts w:ascii="Poppins" w:hAnsi="Poppins" w:cs="Poppins"/>
        </w:rPr>
        <w:t xml:space="preserve">Community </w:t>
      </w:r>
      <w:r w:rsidR="008C2523" w:rsidRPr="00D1021A">
        <w:rPr>
          <w:rFonts w:ascii="Poppins" w:hAnsi="Poppins" w:cs="Poppins"/>
        </w:rPr>
        <w:t>profitieren können</w:t>
      </w:r>
      <w:r w:rsidR="00C442F2" w:rsidRPr="00D1021A">
        <w:rPr>
          <w:rFonts w:ascii="Poppins" w:hAnsi="Poppins" w:cs="Poppins"/>
        </w:rPr>
        <w:t>. Gerade Lehrenden ist „be</w:t>
      </w:r>
      <w:r w:rsidR="00C442F2" w:rsidRPr="00D1021A">
        <w:rPr>
          <w:rFonts w:ascii="Poppins" w:hAnsi="Poppins" w:cs="Poppins"/>
        </w:rPr>
        <w:softHyphen/>
        <w:t xml:space="preserve">wusst, dass es diverse </w:t>
      </w:r>
      <w:proofErr w:type="spellStart"/>
      <w:r w:rsidR="00C442F2" w:rsidRPr="00D1021A">
        <w:rPr>
          <w:rFonts w:ascii="Poppins" w:hAnsi="Poppins" w:cs="Poppins"/>
        </w:rPr>
        <w:t>Lernzuga</w:t>
      </w:r>
      <w:r w:rsidR="00C442F2" w:rsidRPr="00D1021A">
        <w:rPr>
          <w:rFonts w:ascii="Times New Roman" w:hAnsi="Times New Roman" w:cs="Times New Roman"/>
        </w:rPr>
        <w:t>̈</w:t>
      </w:r>
      <w:r w:rsidR="00C442F2" w:rsidRPr="00D1021A">
        <w:rPr>
          <w:rFonts w:ascii="Poppins" w:hAnsi="Poppins" w:cs="Poppins"/>
        </w:rPr>
        <w:t>nge</w:t>
      </w:r>
      <w:proofErr w:type="spellEnd"/>
      <w:r w:rsidR="00C442F2" w:rsidRPr="00D1021A">
        <w:rPr>
          <w:rFonts w:ascii="Poppins" w:hAnsi="Poppins" w:cs="Poppins"/>
        </w:rPr>
        <w:t>, unzählige Vermittlungs- bzw. Aneignungswege und ebenso viele Lernvoraussetzungen wie Lernergebnisse gibt. Die Bewertung von geeignetem Unterrichtsmaterial gleicht zudem der Beurteilungsaufgabe im Unter</w:t>
      </w:r>
      <w:r w:rsidR="00C442F2" w:rsidRPr="00D1021A">
        <w:rPr>
          <w:rFonts w:ascii="Poppins" w:hAnsi="Poppins" w:cs="Poppins"/>
        </w:rPr>
        <w:softHyphen/>
        <w:t>richt, die Lehrerinnen und Lehrer kompetent, gerecht und verantwortungsbewusst ausüben sollen“</w:t>
      </w:r>
      <w:r w:rsidR="00E10671" w:rsidRPr="00D1021A">
        <w:rPr>
          <w:rFonts w:ascii="Poppins" w:hAnsi="Poppins" w:cs="Poppins"/>
        </w:rPr>
        <w:t xml:space="preserve"> (vgl. Brücker, 2018, S. 59)</w:t>
      </w:r>
      <w:r w:rsidR="008C2523" w:rsidRPr="00D1021A">
        <w:rPr>
          <w:rFonts w:ascii="Poppins" w:hAnsi="Poppins" w:cs="Poppins"/>
        </w:rPr>
        <w:t>.</w:t>
      </w:r>
      <w:r w:rsidR="00C442F2" w:rsidRPr="00D1021A">
        <w:rPr>
          <w:rFonts w:ascii="Poppins" w:hAnsi="Poppins" w:cs="Poppins"/>
        </w:rPr>
        <w:br/>
      </w:r>
      <w:r w:rsidR="008C2523" w:rsidRPr="00D1021A">
        <w:rPr>
          <w:rFonts w:ascii="Poppins" w:hAnsi="Poppins" w:cs="Poppins"/>
        </w:rPr>
        <w:t xml:space="preserve">Dies zeigt noch </w:t>
      </w:r>
      <w:r w:rsidR="001706F9" w:rsidRPr="00D1021A">
        <w:rPr>
          <w:rFonts w:ascii="Poppins" w:hAnsi="Poppins" w:cs="Poppins"/>
        </w:rPr>
        <w:t>einmal,</w:t>
      </w:r>
      <w:r w:rsidR="008C2523" w:rsidRPr="00D1021A">
        <w:rPr>
          <w:rFonts w:ascii="Poppins" w:hAnsi="Poppins" w:cs="Poppins"/>
        </w:rPr>
        <w:t xml:space="preserve"> dass das Unterstützungsangebot bedarfsorientiert ausgereichtet sein muss</w:t>
      </w:r>
      <w:r w:rsidR="005B4BA0" w:rsidRPr="00D1021A">
        <w:rPr>
          <w:rFonts w:ascii="Poppins" w:hAnsi="Poppins" w:cs="Poppins"/>
        </w:rPr>
        <w:t>,</w:t>
      </w:r>
      <w:r w:rsidR="008A5A0C" w:rsidRPr="00D1021A">
        <w:rPr>
          <w:rFonts w:ascii="Poppins" w:hAnsi="Poppins" w:cs="Poppins"/>
        </w:rPr>
        <w:t xml:space="preserve"> </w:t>
      </w:r>
      <w:r w:rsidR="005B4BA0" w:rsidRPr="00D1021A">
        <w:rPr>
          <w:rFonts w:ascii="Poppins" w:hAnsi="Poppins" w:cs="Poppins"/>
        </w:rPr>
        <w:t xml:space="preserve">aber auch </w:t>
      </w:r>
      <w:r w:rsidR="008A5A0C" w:rsidRPr="00D1021A">
        <w:rPr>
          <w:rFonts w:ascii="Poppins" w:hAnsi="Poppins" w:cs="Poppins"/>
        </w:rPr>
        <w:t>welche Chancen OEP bieten kann.</w:t>
      </w:r>
    </w:p>
    <w:p w14:paraId="76C6BE49" w14:textId="3C0ADE52" w:rsidR="00841667" w:rsidRPr="00D1021A" w:rsidRDefault="00841667" w:rsidP="00E55947">
      <w:pPr>
        <w:pStyle w:val="Flietext"/>
        <w:jc w:val="left"/>
        <w:rPr>
          <w:rFonts w:ascii="Poppins" w:hAnsi="Poppins" w:cs="Poppins"/>
        </w:rPr>
      </w:pPr>
      <w:r w:rsidRPr="00D1021A">
        <w:rPr>
          <w:rFonts w:ascii="Poppins" w:hAnsi="Poppins" w:cs="Poppins"/>
        </w:rPr>
        <w:t>Während einige OER-</w:t>
      </w:r>
      <w:r w:rsidR="00150CFC" w:rsidRPr="00D1021A">
        <w:rPr>
          <w:rFonts w:ascii="Poppins" w:hAnsi="Poppins" w:cs="Poppins"/>
        </w:rPr>
        <w:t>Qualitätskriterien</w:t>
      </w:r>
      <w:r w:rsidRPr="00D1021A">
        <w:rPr>
          <w:rFonts w:ascii="Poppins" w:hAnsi="Poppins" w:cs="Poppins"/>
        </w:rPr>
        <w:t xml:space="preserve"> </w:t>
      </w:r>
      <w:r w:rsidR="00ED15C1" w:rsidRPr="00D1021A">
        <w:rPr>
          <w:rFonts w:ascii="Poppins" w:hAnsi="Poppins" w:cs="Poppins"/>
        </w:rPr>
        <w:t xml:space="preserve">vergleichswiese </w:t>
      </w:r>
      <w:r w:rsidRPr="00D1021A">
        <w:rPr>
          <w:rFonts w:ascii="Poppins" w:hAnsi="Poppins" w:cs="Poppins"/>
        </w:rPr>
        <w:t>unaufwändig eingehalten oder geprüft werden können, erlauben andere vielfältige Perspektiven, die nicht so schnell</w:t>
      </w:r>
      <w:r w:rsidR="00ED15C1" w:rsidRPr="00D1021A">
        <w:rPr>
          <w:rFonts w:ascii="Poppins" w:hAnsi="Poppins" w:cs="Poppins"/>
        </w:rPr>
        <w:t xml:space="preserve"> </w:t>
      </w:r>
      <w:r w:rsidR="00F01F6E" w:rsidRPr="00D1021A">
        <w:rPr>
          <w:rFonts w:ascii="Poppins" w:hAnsi="Poppins" w:cs="Poppins"/>
        </w:rPr>
        <w:t xml:space="preserve">eine Einordnung </w:t>
      </w:r>
      <w:r w:rsidR="00ED15C1" w:rsidRPr="00D1021A">
        <w:rPr>
          <w:rFonts w:ascii="Poppins" w:hAnsi="Poppins" w:cs="Poppins"/>
        </w:rPr>
        <w:t>in</w:t>
      </w:r>
      <w:r w:rsidRPr="00D1021A">
        <w:rPr>
          <w:rFonts w:ascii="Poppins" w:hAnsi="Poppins" w:cs="Poppins"/>
        </w:rPr>
        <w:t xml:space="preserve"> ein „gut“ oder „schlecht“ </w:t>
      </w:r>
      <w:r w:rsidR="00F01F6E" w:rsidRPr="00D1021A">
        <w:rPr>
          <w:rFonts w:ascii="Poppins" w:hAnsi="Poppins" w:cs="Poppins"/>
        </w:rPr>
        <w:t>zulassen</w:t>
      </w:r>
      <w:r w:rsidR="00AF6006" w:rsidRPr="00D1021A">
        <w:rPr>
          <w:rFonts w:ascii="Poppins" w:hAnsi="Poppins" w:cs="Poppins"/>
        </w:rPr>
        <w:t xml:space="preserve">. Dies wurde bereits bei der Thematisierung </w:t>
      </w:r>
      <w:r w:rsidR="0048080F" w:rsidRPr="00D1021A">
        <w:rPr>
          <w:rFonts w:ascii="Poppins" w:hAnsi="Poppins" w:cs="Poppins"/>
        </w:rPr>
        <w:t>der Qualität</w:t>
      </w:r>
      <w:r w:rsidR="00AF6006" w:rsidRPr="00D1021A">
        <w:rPr>
          <w:rFonts w:ascii="Poppins" w:hAnsi="Poppins" w:cs="Poppins"/>
        </w:rPr>
        <w:t xml:space="preserve"> von Bildung allgemein deutlich. </w:t>
      </w:r>
      <w:r w:rsidR="0048080F" w:rsidRPr="00D1021A">
        <w:rPr>
          <w:rFonts w:ascii="Poppins" w:hAnsi="Poppins" w:cs="Poppins"/>
        </w:rPr>
        <w:t xml:space="preserve">Ein Beispiel hierfür ist der didaktische Aufbau eines Lernangebots. </w:t>
      </w:r>
      <w:r w:rsidRPr="00D1021A">
        <w:rPr>
          <w:rFonts w:ascii="Poppins" w:hAnsi="Poppins" w:cs="Poppins"/>
        </w:rPr>
        <w:t xml:space="preserve">Dies wird noch komplexer, wenn die Potenziale von OER voll ausgeschöpft werden, neuartige Formen der Zusammenarbeit genutzt werden oder neue innovative Formate gewählt oder gar erprobt werden. Hinzu kommt, dass die Qualitätskriterien zum Teil miteinander verwoben sind und nicht ganz trennscharf voneinander zu betrachten sind. </w:t>
      </w:r>
      <w:r w:rsidR="00604C34" w:rsidRPr="00D1021A">
        <w:rPr>
          <w:rFonts w:ascii="Poppins" w:hAnsi="Poppins" w:cs="Poppins"/>
        </w:rPr>
        <w:t xml:space="preserve">So ist </w:t>
      </w:r>
      <w:r w:rsidR="0048080F" w:rsidRPr="00D1021A">
        <w:rPr>
          <w:rFonts w:ascii="Poppins" w:hAnsi="Poppins" w:cs="Poppins"/>
        </w:rPr>
        <w:t>etwa</w:t>
      </w:r>
      <w:r w:rsidR="00604C34" w:rsidRPr="00D1021A">
        <w:rPr>
          <w:rFonts w:ascii="Poppins" w:hAnsi="Poppins" w:cs="Poppins"/>
        </w:rPr>
        <w:t xml:space="preserve"> davon auszugehen, dass </w:t>
      </w:r>
      <w:r w:rsidR="00C84A37" w:rsidRPr="00D1021A">
        <w:rPr>
          <w:rFonts w:ascii="Poppins" w:hAnsi="Poppins" w:cs="Poppins"/>
        </w:rPr>
        <w:t>die Struktur</w:t>
      </w:r>
      <w:r w:rsidR="00604C34" w:rsidRPr="00D1021A">
        <w:rPr>
          <w:rFonts w:ascii="Poppins" w:hAnsi="Poppins" w:cs="Poppins"/>
        </w:rPr>
        <w:t xml:space="preserve"> </w:t>
      </w:r>
      <w:r w:rsidR="00C84A37" w:rsidRPr="00D1021A">
        <w:rPr>
          <w:rFonts w:ascii="Poppins" w:hAnsi="Poppins" w:cs="Poppins"/>
        </w:rPr>
        <w:t xml:space="preserve">einer </w:t>
      </w:r>
      <w:proofErr w:type="gramStart"/>
      <w:r w:rsidR="00C84A37" w:rsidRPr="00D1021A">
        <w:rPr>
          <w:rFonts w:ascii="Poppins" w:hAnsi="Poppins" w:cs="Poppins"/>
        </w:rPr>
        <w:lastRenderedPageBreak/>
        <w:t>OER Auswirkungen</w:t>
      </w:r>
      <w:proofErr w:type="gramEnd"/>
      <w:r w:rsidR="00C84A37" w:rsidRPr="00D1021A">
        <w:rPr>
          <w:rFonts w:ascii="Poppins" w:hAnsi="Poppins" w:cs="Poppins"/>
        </w:rPr>
        <w:t xml:space="preserve"> auf die </w:t>
      </w:r>
      <w:r w:rsidR="00604C34" w:rsidRPr="00D1021A">
        <w:rPr>
          <w:rFonts w:ascii="Poppins" w:hAnsi="Poppins" w:cs="Poppins"/>
        </w:rPr>
        <w:t xml:space="preserve">Motivation der </w:t>
      </w:r>
      <w:r w:rsidR="0048080F" w:rsidRPr="00D1021A">
        <w:rPr>
          <w:rFonts w:ascii="Poppins" w:hAnsi="Poppins" w:cs="Poppins"/>
        </w:rPr>
        <w:t xml:space="preserve">Nutzenden </w:t>
      </w:r>
      <w:r w:rsidR="00C84A37" w:rsidRPr="00D1021A">
        <w:rPr>
          <w:rFonts w:ascii="Poppins" w:hAnsi="Poppins" w:cs="Poppins"/>
        </w:rPr>
        <w:t>hat</w:t>
      </w:r>
      <w:r w:rsidR="0048080F" w:rsidRPr="00D1021A">
        <w:rPr>
          <w:rFonts w:ascii="Poppins" w:hAnsi="Poppins" w:cs="Poppins"/>
        </w:rPr>
        <w:t xml:space="preserve"> oder Designfragen im Kontext der Barrierefreiheit </w:t>
      </w:r>
      <w:r w:rsidR="00066B4A" w:rsidRPr="00D1021A">
        <w:rPr>
          <w:rFonts w:ascii="Poppins" w:hAnsi="Poppins" w:cs="Poppins"/>
        </w:rPr>
        <w:t xml:space="preserve">zu </w:t>
      </w:r>
      <w:r w:rsidR="0048080F" w:rsidRPr="00D1021A">
        <w:rPr>
          <w:rFonts w:ascii="Poppins" w:hAnsi="Poppins" w:cs="Poppins"/>
        </w:rPr>
        <w:t>betrachte</w:t>
      </w:r>
      <w:r w:rsidR="00066B4A" w:rsidRPr="00D1021A">
        <w:rPr>
          <w:rFonts w:ascii="Poppins" w:hAnsi="Poppins" w:cs="Poppins"/>
        </w:rPr>
        <w:t>n sind</w:t>
      </w:r>
      <w:r w:rsidR="0048080F" w:rsidRPr="00D1021A">
        <w:rPr>
          <w:rFonts w:ascii="Poppins" w:hAnsi="Poppins" w:cs="Poppins"/>
        </w:rPr>
        <w:t xml:space="preserve">. </w:t>
      </w:r>
      <w:r w:rsidR="00604C34" w:rsidRPr="00D1021A">
        <w:rPr>
          <w:rFonts w:ascii="Poppins" w:hAnsi="Poppins" w:cs="Poppins"/>
        </w:rPr>
        <w:t>Gerade bei der Erstellung von OER kommen hier Checklisten häufig an ihre Grenzen.</w:t>
      </w:r>
      <w:r w:rsidR="009D2227" w:rsidRPr="00D1021A">
        <w:rPr>
          <w:rFonts w:ascii="Poppins" w:hAnsi="Poppins" w:cs="Poppins"/>
        </w:rPr>
        <w:t xml:space="preserve"> Hier ist es entscheidend, Raum für </w:t>
      </w:r>
      <w:r w:rsidR="000D3183" w:rsidRPr="00D1021A">
        <w:rPr>
          <w:rFonts w:ascii="Poppins" w:hAnsi="Poppins" w:cs="Poppins"/>
        </w:rPr>
        <w:t>Austausch und Diskussion zu schaffen, vielfältige Perspektiven aufzuzeigen und dadurch die</w:t>
      </w:r>
      <w:r w:rsidR="0048080F" w:rsidRPr="00D1021A">
        <w:rPr>
          <w:rFonts w:ascii="Poppins" w:hAnsi="Poppins" w:cs="Poppins"/>
        </w:rPr>
        <w:t xml:space="preserve"> </w:t>
      </w:r>
      <w:r w:rsidR="000D3183" w:rsidRPr="00D1021A">
        <w:rPr>
          <w:rFonts w:ascii="Poppins" w:hAnsi="Poppins" w:cs="Poppins"/>
        </w:rPr>
        <w:t>beste</w:t>
      </w:r>
      <w:r w:rsidR="0048080F" w:rsidRPr="00D1021A">
        <w:rPr>
          <w:rFonts w:ascii="Poppins" w:hAnsi="Poppins" w:cs="Poppins"/>
        </w:rPr>
        <w:t xml:space="preserve"> </w:t>
      </w:r>
      <w:r w:rsidR="000D3183" w:rsidRPr="00D1021A">
        <w:rPr>
          <w:rFonts w:ascii="Poppins" w:hAnsi="Poppins" w:cs="Poppins"/>
        </w:rPr>
        <w:t xml:space="preserve">Lösung für den </w:t>
      </w:r>
      <w:r w:rsidR="0048080F" w:rsidRPr="00D1021A">
        <w:rPr>
          <w:rFonts w:ascii="Poppins" w:hAnsi="Poppins" w:cs="Poppins"/>
        </w:rPr>
        <w:t xml:space="preserve">spezifischen </w:t>
      </w:r>
      <w:r w:rsidR="000D3183" w:rsidRPr="00D1021A">
        <w:rPr>
          <w:rFonts w:ascii="Poppins" w:hAnsi="Poppins" w:cs="Poppins"/>
        </w:rPr>
        <w:t>Kontext zu finden</w:t>
      </w:r>
      <w:r w:rsidR="0048080F" w:rsidRPr="00D1021A">
        <w:rPr>
          <w:rFonts w:ascii="Poppins" w:hAnsi="Poppins" w:cs="Poppins"/>
        </w:rPr>
        <w:t xml:space="preserve">. Dabei sollte der </w:t>
      </w:r>
      <w:r w:rsidR="000D3183" w:rsidRPr="00D1021A">
        <w:rPr>
          <w:rFonts w:ascii="Poppins" w:hAnsi="Poppins" w:cs="Poppins"/>
        </w:rPr>
        <w:t xml:space="preserve">gesamten OER-Lebenszyklus </w:t>
      </w:r>
      <w:r w:rsidR="0048080F" w:rsidRPr="00D1021A">
        <w:rPr>
          <w:rFonts w:ascii="Poppins" w:hAnsi="Poppins" w:cs="Poppins"/>
        </w:rPr>
        <w:t>in den Blick genommen werden und gleichzeitig eine Vergleichbarkeit mit der Qualität anderer OER hergestellt werden</w:t>
      </w:r>
      <w:r w:rsidR="000D3183" w:rsidRPr="00D1021A">
        <w:rPr>
          <w:rFonts w:ascii="Poppins" w:hAnsi="Poppins" w:cs="Poppins"/>
        </w:rPr>
        <w:t>. Hier wird noch einmal die Komplexität der OER-Erstellung deutlich.</w:t>
      </w:r>
      <w:r w:rsidR="00F80990" w:rsidRPr="00D1021A">
        <w:rPr>
          <w:rFonts w:ascii="Poppins" w:hAnsi="Poppins" w:cs="Poppins"/>
        </w:rPr>
        <w:t xml:space="preserve"> </w:t>
      </w:r>
      <w:r w:rsidR="002B7B2F" w:rsidRPr="00D1021A">
        <w:rPr>
          <w:rFonts w:ascii="Poppins" w:hAnsi="Poppins" w:cs="Poppins"/>
        </w:rPr>
        <w:t>OER bieten sich in besondere We</w:t>
      </w:r>
      <w:r w:rsidR="00066B4A" w:rsidRPr="00D1021A">
        <w:rPr>
          <w:rFonts w:ascii="Poppins" w:hAnsi="Poppins" w:cs="Poppins"/>
        </w:rPr>
        <w:t>i</w:t>
      </w:r>
      <w:r w:rsidR="002B7B2F" w:rsidRPr="00D1021A">
        <w:rPr>
          <w:rFonts w:ascii="Poppins" w:hAnsi="Poppins" w:cs="Poppins"/>
        </w:rPr>
        <w:t>se für kollaboratives Arbeiten an</w:t>
      </w:r>
      <w:r w:rsidR="00066B4A" w:rsidRPr="00D1021A">
        <w:rPr>
          <w:rFonts w:ascii="Poppins" w:hAnsi="Poppins" w:cs="Poppins"/>
        </w:rPr>
        <w:t>,</w:t>
      </w:r>
      <w:r w:rsidR="002B7B2F" w:rsidRPr="00D1021A">
        <w:rPr>
          <w:rFonts w:ascii="Poppins" w:hAnsi="Poppins" w:cs="Poppins"/>
        </w:rPr>
        <w:t xml:space="preserve"> und auch die kollaborative Evaluation kann einen deutlichen Mehrwert aufweisen (</w:t>
      </w:r>
      <w:bookmarkStart w:id="71" w:name="_Hlk173935452"/>
      <w:r w:rsidR="00AB6E43" w:rsidRPr="00D1021A">
        <w:rPr>
          <w:rFonts w:ascii="Poppins" w:hAnsi="Poppins" w:cs="Poppins"/>
        </w:rPr>
        <w:t xml:space="preserve">vgl. </w:t>
      </w:r>
      <w:r w:rsidR="002B7B2F" w:rsidRPr="00D1021A">
        <w:rPr>
          <w:rFonts w:ascii="Poppins" w:hAnsi="Poppins" w:cs="Poppins"/>
        </w:rPr>
        <w:t>Marín et al., 2019, S. 11</w:t>
      </w:r>
      <w:bookmarkEnd w:id="71"/>
      <w:r w:rsidR="002B7B2F" w:rsidRPr="00D1021A">
        <w:rPr>
          <w:rFonts w:ascii="Poppins" w:hAnsi="Poppins" w:cs="Poppins"/>
        </w:rPr>
        <w:t>).</w:t>
      </w:r>
      <w:r w:rsidR="00245256" w:rsidRPr="00D1021A">
        <w:rPr>
          <w:rFonts w:ascii="Poppins" w:hAnsi="Poppins" w:cs="Poppins"/>
        </w:rPr>
        <w:t xml:space="preserve"> Bereits 2002 empfehlen Nesbit, Vago und </w:t>
      </w:r>
      <w:proofErr w:type="spellStart"/>
      <w:r w:rsidR="00245256" w:rsidRPr="00D1021A">
        <w:rPr>
          <w:rFonts w:ascii="Poppins" w:hAnsi="Poppins" w:cs="Poppins"/>
        </w:rPr>
        <w:t>Belfer</w:t>
      </w:r>
      <w:proofErr w:type="spellEnd"/>
      <w:r w:rsidR="00245256" w:rsidRPr="00D1021A">
        <w:rPr>
          <w:rFonts w:ascii="Poppins" w:hAnsi="Poppins" w:cs="Poppins"/>
        </w:rPr>
        <w:t xml:space="preserve"> die Evaluation von Lernmaterialien durch einen kollaborativen Prozess (vgl. Nesbit</w:t>
      </w:r>
      <w:r w:rsidR="00936A6E" w:rsidRPr="00D1021A">
        <w:rPr>
          <w:rFonts w:ascii="Poppins" w:hAnsi="Poppins" w:cs="Poppins"/>
        </w:rPr>
        <w:t xml:space="preserve"> et al.</w:t>
      </w:r>
      <w:r w:rsidR="00245256" w:rsidRPr="00D1021A">
        <w:rPr>
          <w:rFonts w:ascii="Poppins" w:hAnsi="Poppins" w:cs="Poppins"/>
        </w:rPr>
        <w:t>, 2002, o. S.).</w:t>
      </w:r>
    </w:p>
    <w:p w14:paraId="61A2EDF8" w14:textId="63F34853" w:rsidR="00B81684" w:rsidRPr="00D1021A" w:rsidRDefault="00B81684" w:rsidP="009B614E">
      <w:pPr>
        <w:pStyle w:val="berschrift2"/>
        <w:rPr>
          <w:rFonts w:ascii="Poppins" w:hAnsi="Poppins" w:cs="Poppins"/>
          <w14:ligatures w14:val="none"/>
        </w:rPr>
      </w:pPr>
      <w:bookmarkStart w:id="72" w:name="_Toc177037310"/>
      <w:r w:rsidRPr="00D1021A">
        <w:rPr>
          <w:rFonts w:ascii="Poppins" w:hAnsi="Poppins" w:cs="Poppins"/>
        </w:rPr>
        <w:t>Bereitstellung von Ressourcen</w:t>
      </w:r>
      <w:bookmarkEnd w:id="72"/>
    </w:p>
    <w:p w14:paraId="3AD5A096" w14:textId="43ACCD62" w:rsidR="00820BC0" w:rsidRPr="00D1021A" w:rsidRDefault="00820BC0" w:rsidP="00E55947">
      <w:pPr>
        <w:pStyle w:val="Flietext"/>
        <w:jc w:val="left"/>
        <w:rPr>
          <w:rFonts w:ascii="Poppins" w:hAnsi="Poppins" w:cs="Poppins"/>
        </w:rPr>
      </w:pPr>
      <w:r w:rsidRPr="00D1021A">
        <w:rPr>
          <w:rFonts w:ascii="Poppins" w:hAnsi="Poppins" w:cs="Poppins"/>
        </w:rPr>
        <w:t>Die Erstellung von OER – und im Besonderen von qualitativ hochwertige</w:t>
      </w:r>
      <w:r w:rsidR="00066B4A" w:rsidRPr="00D1021A">
        <w:rPr>
          <w:rFonts w:ascii="Poppins" w:hAnsi="Poppins" w:cs="Poppins"/>
        </w:rPr>
        <w:t>n</w:t>
      </w:r>
      <w:r w:rsidRPr="00D1021A">
        <w:rPr>
          <w:rFonts w:ascii="Poppins" w:hAnsi="Poppins" w:cs="Poppins"/>
        </w:rPr>
        <w:t xml:space="preserve"> OER – bedarf Ressourcen. Damit ist neben der erforderlichen Expertise auch und in besonderer Weise die Ressource Zeit gemeint, denn sowohl die Erlangung von Kenntnissen </w:t>
      </w:r>
      <w:r w:rsidR="0048080F" w:rsidRPr="00D1021A">
        <w:rPr>
          <w:rFonts w:ascii="Poppins" w:hAnsi="Poppins" w:cs="Poppins"/>
        </w:rPr>
        <w:t xml:space="preserve">und Kompetenzen </w:t>
      </w:r>
      <w:r w:rsidR="00066B4A" w:rsidRPr="00D1021A">
        <w:rPr>
          <w:rFonts w:ascii="Poppins" w:hAnsi="Poppins" w:cs="Poppins"/>
        </w:rPr>
        <w:t xml:space="preserve">bei </w:t>
      </w:r>
      <w:r w:rsidRPr="00D1021A">
        <w:rPr>
          <w:rFonts w:ascii="Poppins" w:hAnsi="Poppins" w:cs="Poppins"/>
        </w:rPr>
        <w:t xml:space="preserve">der Erstellung und Bereitstellung von OER als auch das Erstellen der eigentlichen OER benötigen Zeit. Die </w:t>
      </w:r>
      <w:r w:rsidR="00066B4A" w:rsidRPr="00D1021A">
        <w:rPr>
          <w:rFonts w:ascii="Poppins" w:hAnsi="Poppins" w:cs="Poppins"/>
        </w:rPr>
        <w:t>u</w:t>
      </w:r>
      <w:r w:rsidRPr="00D1021A">
        <w:rPr>
          <w:rFonts w:ascii="Poppins" w:hAnsi="Poppins" w:cs="Poppins"/>
        </w:rPr>
        <w:t>nterschiedlichen OER-Qualitätskriterien zeigen schnell, dass die Erstellung hochwertiger OER nicht trivial ist. Hier ist abzuwägen, inwiefern Lehrende selbst tätig werden</w:t>
      </w:r>
      <w:r w:rsidR="001644AC" w:rsidRPr="00D1021A">
        <w:rPr>
          <w:rFonts w:ascii="Poppins" w:hAnsi="Poppins" w:cs="Poppins"/>
        </w:rPr>
        <w:t>,</w:t>
      </w:r>
      <w:r w:rsidRPr="00D1021A">
        <w:rPr>
          <w:rFonts w:ascii="Poppins" w:hAnsi="Poppins" w:cs="Poppins"/>
        </w:rPr>
        <w:t xml:space="preserve"> welche Form der Unterstützung bereitgestellt wird und wie d</w:t>
      </w:r>
      <w:r w:rsidR="0048080F" w:rsidRPr="00D1021A">
        <w:rPr>
          <w:rFonts w:ascii="Poppins" w:hAnsi="Poppins" w:cs="Poppins"/>
        </w:rPr>
        <w:t>ies</w:t>
      </w:r>
      <w:r w:rsidRPr="00D1021A">
        <w:rPr>
          <w:rFonts w:ascii="Poppins" w:hAnsi="Poppins" w:cs="Poppins"/>
        </w:rPr>
        <w:t xml:space="preserve"> mit der Verbreitung von OER </w:t>
      </w:r>
      <w:r w:rsidRPr="00D1021A">
        <w:rPr>
          <w:rFonts w:ascii="Poppins" w:hAnsi="Poppins" w:cs="Poppins"/>
        </w:rPr>
        <w:lastRenderedPageBreak/>
        <w:t xml:space="preserve">zusammenhängt. </w:t>
      </w:r>
      <w:r w:rsidR="001644AC" w:rsidRPr="00D1021A">
        <w:rPr>
          <w:rFonts w:ascii="Poppins" w:hAnsi="Poppins" w:cs="Poppins"/>
        </w:rPr>
        <w:t xml:space="preserve">Es </w:t>
      </w:r>
      <w:r w:rsidRPr="00D1021A">
        <w:rPr>
          <w:rFonts w:ascii="Poppins" w:hAnsi="Poppins" w:cs="Poppins"/>
        </w:rPr>
        <w:t>ist jedoch davon auszugehen, dass einmal erlangte K</w:t>
      </w:r>
      <w:r w:rsidR="0048080F" w:rsidRPr="00D1021A">
        <w:rPr>
          <w:rFonts w:ascii="Poppins" w:hAnsi="Poppins" w:cs="Poppins"/>
        </w:rPr>
        <w:t>ompetenzen</w:t>
      </w:r>
      <w:r w:rsidRPr="00D1021A">
        <w:rPr>
          <w:rFonts w:ascii="Poppins" w:hAnsi="Poppins" w:cs="Poppins"/>
        </w:rPr>
        <w:t xml:space="preserve"> auch in anderen Kontexten angewendet werden können und beispielsweise Hochschullehrende als Multiplikato</w:t>
      </w:r>
      <w:r w:rsidR="0048080F" w:rsidRPr="00D1021A">
        <w:rPr>
          <w:rFonts w:ascii="Poppins" w:hAnsi="Poppins" w:cs="Poppins"/>
        </w:rPr>
        <w:t>r*</w:t>
      </w:r>
      <w:r w:rsidRPr="00D1021A">
        <w:rPr>
          <w:rFonts w:ascii="Poppins" w:hAnsi="Poppins" w:cs="Poppins"/>
        </w:rPr>
        <w:t>innen, nicht nur der spezifischen Kenntnisse, sondern auch des OER-Gedankens fungieren können.</w:t>
      </w:r>
    </w:p>
    <w:p w14:paraId="4FD4878F" w14:textId="1515C469" w:rsidR="00820BC0" w:rsidRPr="00D1021A" w:rsidRDefault="00820BC0" w:rsidP="009B614E">
      <w:pPr>
        <w:pStyle w:val="berschrift2"/>
        <w:rPr>
          <w:rFonts w:ascii="Poppins" w:hAnsi="Poppins" w:cs="Poppins"/>
        </w:rPr>
      </w:pPr>
      <w:bookmarkStart w:id="73" w:name="_Toc177037311"/>
      <w:r w:rsidRPr="00D1021A">
        <w:rPr>
          <w:rFonts w:ascii="Poppins" w:hAnsi="Poppins" w:cs="Poppins"/>
        </w:rPr>
        <w:t>Q</w:t>
      </w:r>
      <w:r w:rsidR="00A923B1" w:rsidRPr="00D1021A">
        <w:rPr>
          <w:rFonts w:ascii="Poppins" w:hAnsi="Poppins" w:cs="Poppins"/>
        </w:rPr>
        <w:t>ER-</w:t>
      </w:r>
      <w:r w:rsidR="00187EA6" w:rsidRPr="00D1021A">
        <w:rPr>
          <w:rFonts w:ascii="Poppins" w:hAnsi="Poppins" w:cs="Poppins"/>
        </w:rPr>
        <w:t>Institutionen</w:t>
      </w:r>
      <w:bookmarkEnd w:id="73"/>
    </w:p>
    <w:p w14:paraId="611111BE" w14:textId="68AF7065" w:rsidR="00A923B1" w:rsidRPr="00D1021A" w:rsidRDefault="00A923B1" w:rsidP="00E55947">
      <w:pPr>
        <w:pStyle w:val="Flietext"/>
        <w:jc w:val="left"/>
        <w:rPr>
          <w:rFonts w:ascii="Poppins" w:hAnsi="Poppins" w:cs="Poppins"/>
        </w:rPr>
      </w:pPr>
      <w:r w:rsidRPr="00D1021A">
        <w:rPr>
          <w:rFonts w:ascii="Poppins" w:hAnsi="Poppins" w:cs="Poppins"/>
        </w:rPr>
        <w:t>OER-Institutionen stehen vor der Aufgabe</w:t>
      </w:r>
      <w:r w:rsidR="001644AC" w:rsidRPr="00D1021A">
        <w:rPr>
          <w:rFonts w:ascii="Poppins" w:hAnsi="Poppins" w:cs="Poppins"/>
        </w:rPr>
        <w:t>,</w:t>
      </w:r>
      <w:r w:rsidRPr="00D1021A">
        <w:rPr>
          <w:rFonts w:ascii="Poppins" w:hAnsi="Poppins" w:cs="Poppins"/>
        </w:rPr>
        <w:t xml:space="preserve"> auf ihren Plattformen </w:t>
      </w:r>
      <w:r w:rsidR="00187EA6" w:rsidRPr="00D1021A">
        <w:rPr>
          <w:rFonts w:ascii="Poppins" w:hAnsi="Poppins" w:cs="Poppins"/>
        </w:rPr>
        <w:t xml:space="preserve">und Repositorien </w:t>
      </w:r>
      <w:r w:rsidRPr="00D1021A">
        <w:rPr>
          <w:rFonts w:ascii="Poppins" w:hAnsi="Poppins" w:cs="Poppins"/>
        </w:rPr>
        <w:t xml:space="preserve">den Qualitätskriterien gerecht zu werden und die entsprechende Rahmung zu schaffen. </w:t>
      </w:r>
      <w:r w:rsidR="008915A9" w:rsidRPr="00D1021A">
        <w:rPr>
          <w:rFonts w:ascii="Poppins" w:hAnsi="Poppins" w:cs="Poppins"/>
        </w:rPr>
        <w:t xml:space="preserve">Diese sollte Lernenden zudem durch eine vertraute Erfahrung mit verschiedenen Angeboten </w:t>
      </w:r>
      <w:r w:rsidR="008915A9" w:rsidRPr="001E7009">
        <w:rPr>
          <w:rFonts w:ascii="Poppins" w:hAnsi="Poppins" w:cs="Poppins"/>
        </w:rPr>
        <w:t>Orientierung für die Auswahlhandlung bieten (</w:t>
      </w:r>
      <w:bookmarkStart w:id="74" w:name="_Hlk173935661"/>
      <w:r w:rsidR="008915A9" w:rsidRPr="001E7009">
        <w:rPr>
          <w:rFonts w:ascii="Poppins" w:hAnsi="Poppins" w:cs="Poppins"/>
        </w:rPr>
        <w:t xml:space="preserve">vgl. Read </w:t>
      </w:r>
      <w:r w:rsidR="00890873" w:rsidRPr="001E7009">
        <w:rPr>
          <w:rFonts w:ascii="Poppins" w:hAnsi="Poppins" w:cs="Poppins"/>
        </w:rPr>
        <w:t>&amp; Rodrigo</w:t>
      </w:r>
      <w:r w:rsidR="008915A9" w:rsidRPr="001E7009">
        <w:rPr>
          <w:rFonts w:ascii="Poppins" w:hAnsi="Poppins" w:cs="Poppins"/>
        </w:rPr>
        <w:t>, 2014, S. 12</w:t>
      </w:r>
      <w:bookmarkEnd w:id="74"/>
      <w:r w:rsidR="008915A9" w:rsidRPr="001E7009">
        <w:rPr>
          <w:rFonts w:ascii="Poppins" w:hAnsi="Poppins" w:cs="Poppins"/>
        </w:rPr>
        <w:t xml:space="preserve">). </w:t>
      </w:r>
      <w:r w:rsidR="00187EA6" w:rsidRPr="001E7009">
        <w:rPr>
          <w:rFonts w:ascii="Poppins" w:hAnsi="Poppins" w:cs="Poppins"/>
        </w:rPr>
        <w:t>Ist die</w:t>
      </w:r>
      <w:r w:rsidR="0048080F" w:rsidRPr="001E7009">
        <w:rPr>
          <w:rFonts w:ascii="Poppins" w:hAnsi="Poppins" w:cs="Poppins"/>
        </w:rPr>
        <w:t>ser</w:t>
      </w:r>
      <w:r w:rsidR="00187EA6" w:rsidRPr="001E7009">
        <w:rPr>
          <w:rFonts w:ascii="Poppins" w:hAnsi="Poppins" w:cs="Poppins"/>
        </w:rPr>
        <w:t xml:space="preserve"> Rahmen gegeben, so müssen Prozesse und Strukturen </w:t>
      </w:r>
      <w:r w:rsidR="00234245" w:rsidRPr="001E7009">
        <w:rPr>
          <w:rFonts w:ascii="Poppins" w:hAnsi="Poppins" w:cs="Poppins"/>
        </w:rPr>
        <w:t>(</w:t>
      </w:r>
      <w:r w:rsidR="00F20C85" w:rsidRPr="001E7009">
        <w:rPr>
          <w:rFonts w:ascii="Poppins" w:hAnsi="Poppins" w:cs="Poppins"/>
        </w:rPr>
        <w:t xml:space="preserve">siehe </w:t>
      </w:r>
      <w:r w:rsidR="00C675C9" w:rsidRPr="001E7009">
        <w:rPr>
          <w:rFonts w:ascii="Poppins" w:hAnsi="Poppins" w:cs="Poppins"/>
        </w:rPr>
        <w:t>Kapitel 2.1.1</w:t>
      </w:r>
      <w:r w:rsidR="00F20C85" w:rsidRPr="001E7009">
        <w:rPr>
          <w:rFonts w:ascii="Poppins" w:hAnsi="Poppins" w:cs="Poppins"/>
        </w:rPr>
        <w:t xml:space="preserve"> Qualitätsdimensionen, S. </w:t>
      </w:r>
      <w:r w:rsidR="00C96425" w:rsidRPr="001E7009">
        <w:rPr>
          <w:rFonts w:ascii="Poppins" w:hAnsi="Poppins" w:cs="Poppins"/>
        </w:rPr>
        <w:t>10</w:t>
      </w:r>
      <w:r w:rsidR="00234245" w:rsidRPr="001E7009">
        <w:rPr>
          <w:rFonts w:ascii="Poppins" w:hAnsi="Poppins" w:cs="Poppins"/>
        </w:rPr>
        <w:t xml:space="preserve">) </w:t>
      </w:r>
      <w:r w:rsidR="00187EA6" w:rsidRPr="001E7009">
        <w:rPr>
          <w:rFonts w:ascii="Poppins" w:hAnsi="Poppins" w:cs="Poppins"/>
        </w:rPr>
        <w:t xml:space="preserve">etabliert werden, die bei der Erstellung und Bereitstellung hochwertiger OER unterstützen. </w:t>
      </w:r>
      <w:r w:rsidRPr="001E7009">
        <w:rPr>
          <w:rFonts w:ascii="Poppins" w:hAnsi="Poppins" w:cs="Poppins"/>
        </w:rPr>
        <w:t xml:space="preserve">OER-Anbietende sollten zudem Unterstützung bei der Suche nach passenden Angeboten </w:t>
      </w:r>
      <w:r w:rsidR="00EC6D24" w:rsidRPr="001E7009">
        <w:rPr>
          <w:rFonts w:ascii="Poppins" w:hAnsi="Poppins" w:cs="Poppins"/>
        </w:rPr>
        <w:t>bereitstellen</w:t>
      </w:r>
      <w:r w:rsidRPr="001E7009">
        <w:rPr>
          <w:rFonts w:ascii="Poppins" w:hAnsi="Poppins" w:cs="Poppins"/>
        </w:rPr>
        <w:t>. Ist die Suche nach passenden OER zu zeitaufwändig oder unpraktisch</w:t>
      </w:r>
      <w:r w:rsidRPr="00D1021A">
        <w:rPr>
          <w:rFonts w:ascii="Poppins" w:hAnsi="Poppins" w:cs="Poppins"/>
        </w:rPr>
        <w:t>, werden sie nicht genutzt (</w:t>
      </w:r>
      <w:bookmarkStart w:id="75" w:name="_Hlk173935824"/>
      <w:r w:rsidRPr="00D1021A">
        <w:rPr>
          <w:rFonts w:ascii="Poppins" w:hAnsi="Poppins" w:cs="Poppins"/>
        </w:rPr>
        <w:t xml:space="preserve">vgl. </w:t>
      </w:r>
      <w:proofErr w:type="spellStart"/>
      <w:r w:rsidRPr="00D1021A">
        <w:rPr>
          <w:rFonts w:ascii="Poppins" w:hAnsi="Poppins" w:cs="Poppins"/>
        </w:rPr>
        <w:t>Vlădoiu</w:t>
      </w:r>
      <w:proofErr w:type="spellEnd"/>
      <w:r w:rsidRPr="00D1021A">
        <w:rPr>
          <w:rFonts w:ascii="Poppins" w:hAnsi="Poppins" w:cs="Poppins"/>
        </w:rPr>
        <w:t xml:space="preserve">, 2012, S. </w:t>
      </w:r>
      <w:bookmarkEnd w:id="75"/>
      <w:r w:rsidR="00172FA7" w:rsidRPr="00D1021A">
        <w:rPr>
          <w:rFonts w:ascii="Poppins" w:hAnsi="Poppins" w:cs="Poppins"/>
        </w:rPr>
        <w:t>219</w:t>
      </w:r>
      <w:r w:rsidRPr="00D1021A">
        <w:rPr>
          <w:rFonts w:ascii="Poppins" w:hAnsi="Poppins" w:cs="Poppins"/>
        </w:rPr>
        <w:t>). Dies unterstreicht auch noch einmal die Wichtigkeit von Abstimmungsprozessen mit anderen OER-Anbietenden bzw. Institutionen. Die föderalen Strukturen in Deutschland stellen hier eine Herausforderung dar, deren Vielfältigkeit aber auch Chancen</w:t>
      </w:r>
      <w:r w:rsidR="00D948F5">
        <w:rPr>
          <w:rStyle w:val="Kommentarzeichen"/>
          <w:rFonts w:ascii="Poppins" w:hAnsi="Poppins" w:cs="Poppins"/>
        </w:rPr>
        <w:t xml:space="preserve"> </w:t>
      </w:r>
      <w:r w:rsidR="00D948F5">
        <w:rPr>
          <w:rFonts w:ascii="Poppins" w:hAnsi="Poppins" w:cs="Poppins"/>
        </w:rPr>
        <w:t>bie</w:t>
      </w:r>
      <w:r w:rsidRPr="00D1021A">
        <w:rPr>
          <w:rFonts w:ascii="Poppins" w:hAnsi="Poppins" w:cs="Poppins"/>
        </w:rPr>
        <w:t>ten.</w:t>
      </w:r>
    </w:p>
    <w:p w14:paraId="5B605214" w14:textId="1F557FE6" w:rsidR="0040385C" w:rsidRPr="00D1021A" w:rsidRDefault="00CA6396" w:rsidP="00E55947">
      <w:pPr>
        <w:pStyle w:val="Flietext"/>
        <w:jc w:val="left"/>
        <w:rPr>
          <w:rFonts w:ascii="Poppins" w:hAnsi="Poppins" w:cs="Poppins"/>
          <w:color w:val="000000" w:themeColor="text1"/>
        </w:rPr>
      </w:pPr>
      <w:r w:rsidRPr="00D1021A">
        <w:rPr>
          <w:rFonts w:ascii="Poppins" w:eastAsia="Aptos" w:hAnsi="Poppins" w:cs="Poppins"/>
          <w:color w:val="000000" w:themeColor="text1"/>
          <w:szCs w:val="24"/>
        </w:rPr>
        <w:t xml:space="preserve">Zu nennen sind hier ebenfalls die Ergebnisse des ENCORE+-Projektes: </w:t>
      </w:r>
      <w:r w:rsidR="00046E90" w:rsidRPr="00D1021A">
        <w:rPr>
          <w:rFonts w:ascii="Poppins" w:eastAsia="Aptos" w:hAnsi="Poppins" w:cs="Poppins"/>
          <w:color w:val="000000" w:themeColor="text1"/>
          <w:szCs w:val="24"/>
        </w:rPr>
        <w:t xml:space="preserve">Im Austausch mit der OER-Fachcommunity fanden </w:t>
      </w:r>
      <w:r w:rsidRPr="00D1021A">
        <w:rPr>
          <w:rFonts w:ascii="Poppins" w:eastAsia="Aptos" w:hAnsi="Poppins" w:cs="Poppins"/>
          <w:color w:val="000000" w:themeColor="text1"/>
          <w:szCs w:val="24"/>
        </w:rPr>
        <w:t xml:space="preserve">hier </w:t>
      </w:r>
      <w:r w:rsidR="00046E90" w:rsidRPr="00D1021A">
        <w:rPr>
          <w:rFonts w:ascii="Poppins" w:eastAsia="Aptos" w:hAnsi="Poppins" w:cs="Poppins"/>
          <w:color w:val="000000" w:themeColor="text1"/>
          <w:szCs w:val="24"/>
        </w:rPr>
        <w:t xml:space="preserve">verschiedene </w:t>
      </w:r>
      <w:r w:rsidR="00046E90" w:rsidRPr="00D1021A">
        <w:rPr>
          <w:rFonts w:ascii="Poppins" w:eastAsia="Aptos" w:hAnsi="Poppins" w:cs="Poppins"/>
          <w:color w:val="000000" w:themeColor="text1"/>
          <w:szCs w:val="24"/>
        </w:rPr>
        <w:lastRenderedPageBreak/>
        <w:t>Austauschformate und Erhebungen statt. Die Ergebnisse flossen in unterschiedliche Positionspapiere und Fachartikel</w:t>
      </w:r>
      <w:r w:rsidR="00EF32B5" w:rsidRPr="00D1021A">
        <w:rPr>
          <w:rFonts w:ascii="Poppins" w:eastAsia="Aptos" w:hAnsi="Poppins" w:cs="Poppins"/>
          <w:color w:val="000000" w:themeColor="text1"/>
          <w:szCs w:val="24"/>
        </w:rPr>
        <w:t xml:space="preserve"> ein und bestätigten </w:t>
      </w:r>
      <w:r w:rsidR="00046E90" w:rsidRPr="00D1021A">
        <w:rPr>
          <w:rFonts w:ascii="Poppins" w:eastAsia="Aptos" w:hAnsi="Poppins" w:cs="Poppins"/>
          <w:color w:val="000000" w:themeColor="text1"/>
          <w:szCs w:val="24"/>
        </w:rPr>
        <w:t xml:space="preserve">die Ansicht, dass es zur Sicherung von OER-Qualität kein </w:t>
      </w:r>
      <w:r w:rsidR="00046E90" w:rsidRPr="00D1021A">
        <w:rPr>
          <w:rFonts w:ascii="Poppins" w:hAnsi="Poppins" w:cs="Poppins"/>
        </w:rPr>
        <w:t>„</w:t>
      </w:r>
      <w:proofErr w:type="spellStart"/>
      <w:r w:rsidR="00046E90" w:rsidRPr="00D1021A">
        <w:rPr>
          <w:rFonts w:ascii="Poppins" w:hAnsi="Poppins" w:cs="Poppins"/>
        </w:rPr>
        <w:t>one</w:t>
      </w:r>
      <w:proofErr w:type="spellEnd"/>
      <w:r w:rsidR="00046E90" w:rsidRPr="00D1021A">
        <w:rPr>
          <w:rFonts w:ascii="Poppins" w:hAnsi="Poppins" w:cs="Poppins"/>
        </w:rPr>
        <w:t xml:space="preserve"> </w:t>
      </w:r>
      <w:proofErr w:type="spellStart"/>
      <w:r w:rsidR="00046E90" w:rsidRPr="00D1021A">
        <w:rPr>
          <w:rFonts w:ascii="Poppins" w:hAnsi="Poppins" w:cs="Poppins"/>
        </w:rPr>
        <w:t>size</w:t>
      </w:r>
      <w:proofErr w:type="spellEnd"/>
      <w:r w:rsidR="00046E90" w:rsidRPr="00D1021A">
        <w:rPr>
          <w:rFonts w:ascii="Poppins" w:hAnsi="Poppins" w:cs="Poppins"/>
        </w:rPr>
        <w:t xml:space="preserve"> </w:t>
      </w:r>
      <w:proofErr w:type="spellStart"/>
      <w:r w:rsidR="00046E90" w:rsidRPr="00D1021A">
        <w:rPr>
          <w:rFonts w:ascii="Poppins" w:hAnsi="Poppins" w:cs="Poppins"/>
        </w:rPr>
        <w:t>fits</w:t>
      </w:r>
      <w:proofErr w:type="spellEnd"/>
      <w:r w:rsidR="00046E90" w:rsidRPr="00D1021A">
        <w:rPr>
          <w:rFonts w:ascii="Poppins" w:hAnsi="Poppins" w:cs="Poppins"/>
        </w:rPr>
        <w:t xml:space="preserve"> all“ (</w:t>
      </w:r>
      <w:bookmarkStart w:id="76" w:name="_Hlk173935944"/>
      <w:r w:rsidR="00046E90" w:rsidRPr="00D1021A">
        <w:rPr>
          <w:rFonts w:ascii="Poppins" w:hAnsi="Poppins" w:cs="Poppins"/>
        </w:rPr>
        <w:t>ENCORE+, 2023b, S. 2</w:t>
      </w:r>
      <w:bookmarkEnd w:id="76"/>
      <w:r w:rsidR="00046E90" w:rsidRPr="00D1021A">
        <w:rPr>
          <w:rFonts w:ascii="Poppins" w:hAnsi="Poppins" w:cs="Poppins"/>
        </w:rPr>
        <w:t>) geben kann</w:t>
      </w:r>
      <w:r w:rsidR="00EF32B5" w:rsidRPr="00D1021A">
        <w:rPr>
          <w:rFonts w:ascii="Poppins" w:hAnsi="Poppins" w:cs="Poppins"/>
        </w:rPr>
        <w:t>.</w:t>
      </w:r>
      <w:r w:rsidR="00046E90" w:rsidRPr="00D1021A">
        <w:rPr>
          <w:rFonts w:ascii="Poppins" w:hAnsi="Poppins" w:cs="Poppins"/>
        </w:rPr>
        <w:t xml:space="preserve"> </w:t>
      </w:r>
      <w:r w:rsidR="001644AC" w:rsidRPr="006416ED">
        <w:rPr>
          <w:rFonts w:ascii="Poppins" w:hAnsi="Poppins" w:cs="Poppins"/>
          <w:lang w:val="en-US"/>
        </w:rPr>
        <w:t xml:space="preserve">Es </w:t>
      </w:r>
      <w:r w:rsidR="00046E90" w:rsidRPr="006416ED">
        <w:rPr>
          <w:rFonts w:ascii="Poppins" w:hAnsi="Poppins" w:cs="Poppins"/>
          <w:lang w:val="en-US"/>
        </w:rPr>
        <w:t xml:space="preserve">gilt: „Quality practices of OER repositories do not necessarily differ in their value, but it is important to keep in mind that each repository has its own strategies and tools to ensure the quality of their </w:t>
      </w:r>
      <w:proofErr w:type="gramStart"/>
      <w:r w:rsidR="00046E90" w:rsidRPr="006416ED">
        <w:rPr>
          <w:rFonts w:ascii="Poppins" w:hAnsi="Poppins" w:cs="Poppins"/>
          <w:lang w:val="en-US"/>
        </w:rPr>
        <w:t>database“ (</w:t>
      </w:r>
      <w:proofErr w:type="gramEnd"/>
      <w:r w:rsidR="00046E90" w:rsidRPr="006416ED">
        <w:rPr>
          <w:rFonts w:ascii="Poppins" w:hAnsi="Poppins" w:cs="Poppins"/>
          <w:lang w:val="en-US"/>
        </w:rPr>
        <w:t>ENCORE+, 2023a, S. 4).</w:t>
      </w:r>
      <w:r w:rsidR="00A923B1" w:rsidRPr="006416ED">
        <w:rPr>
          <w:rFonts w:ascii="Poppins" w:hAnsi="Poppins" w:cs="Poppins"/>
          <w:lang w:val="en-US"/>
        </w:rPr>
        <w:t xml:space="preserve"> </w:t>
      </w:r>
      <w:r w:rsidR="00046E90" w:rsidRPr="00D1021A">
        <w:rPr>
          <w:rFonts w:ascii="Poppins" w:hAnsi="Poppins" w:cs="Poppins"/>
        </w:rPr>
        <w:t xml:space="preserve">Allerdings konnte das ENCORE+-Projekt die Wichtigkeit der Transparenz </w:t>
      </w:r>
      <w:r w:rsidR="00D54ED2" w:rsidRPr="00D1021A">
        <w:rPr>
          <w:rFonts w:ascii="Poppins" w:hAnsi="Poppins" w:cs="Poppins"/>
        </w:rPr>
        <w:t xml:space="preserve">und Verständlichkeit </w:t>
      </w:r>
      <w:r w:rsidR="00046E90" w:rsidRPr="00D1021A">
        <w:rPr>
          <w:rFonts w:ascii="Poppins" w:hAnsi="Poppins" w:cs="Poppins"/>
        </w:rPr>
        <w:t xml:space="preserve">der Qualitätspraktiken herausarbeiten </w:t>
      </w:r>
      <w:r w:rsidR="00046E90" w:rsidRPr="00D1021A">
        <w:rPr>
          <w:rFonts w:ascii="Poppins" w:eastAsia="Aptos" w:hAnsi="Poppins" w:cs="Poppins"/>
          <w:color w:val="000000" w:themeColor="text1"/>
          <w:szCs w:val="24"/>
        </w:rPr>
        <w:t>(</w:t>
      </w:r>
      <w:r w:rsidR="00A923B1" w:rsidRPr="00D1021A">
        <w:rPr>
          <w:rFonts w:ascii="Poppins" w:eastAsia="Aptos" w:hAnsi="Poppins" w:cs="Poppins"/>
          <w:color w:val="000000" w:themeColor="text1"/>
          <w:szCs w:val="24"/>
        </w:rPr>
        <w:t>vgl. ebd.</w:t>
      </w:r>
      <w:r w:rsidR="00D54ED2" w:rsidRPr="00D1021A">
        <w:rPr>
          <w:rFonts w:ascii="Poppins" w:eastAsia="Aptos" w:hAnsi="Poppins" w:cs="Poppins"/>
          <w:color w:val="000000" w:themeColor="text1"/>
          <w:szCs w:val="24"/>
        </w:rPr>
        <w:t xml:space="preserve"> / ENCORE+, 2022, S. 3</w:t>
      </w:r>
      <w:r w:rsidR="00046E90" w:rsidRPr="00D1021A">
        <w:rPr>
          <w:rFonts w:ascii="Poppins" w:eastAsia="Aptos" w:hAnsi="Poppins" w:cs="Poppins"/>
          <w:color w:val="000000" w:themeColor="text1"/>
          <w:szCs w:val="24"/>
        </w:rPr>
        <w:t>)</w:t>
      </w:r>
      <w:r w:rsidR="00046E90" w:rsidRPr="00D1021A">
        <w:rPr>
          <w:rFonts w:ascii="Poppins" w:hAnsi="Poppins" w:cs="Poppins"/>
          <w:color w:val="000000" w:themeColor="text1"/>
        </w:rPr>
        <w:t>.</w:t>
      </w:r>
    </w:p>
    <w:p w14:paraId="76C1256B" w14:textId="30B35034" w:rsidR="00B26CFD" w:rsidRPr="00D1021A" w:rsidRDefault="00B26CFD" w:rsidP="00E55947">
      <w:pPr>
        <w:pStyle w:val="Flietext"/>
        <w:jc w:val="left"/>
        <w:rPr>
          <w:rFonts w:ascii="Poppins" w:hAnsi="Poppins" w:cs="Poppins"/>
        </w:rPr>
      </w:pPr>
      <w:r w:rsidRPr="00D1021A">
        <w:rPr>
          <w:rFonts w:ascii="Poppins" w:hAnsi="Poppins" w:cs="Poppins"/>
        </w:rPr>
        <w:t>Dadurch, dass OER von allen Menschen nicht nur genutzt sondern auch weiterentwickelt werden können, ist dies ebenfalls als ein Baustein zur Qualitätssteigerung zu sehen</w:t>
      </w:r>
      <w:r w:rsidR="00EF32B5" w:rsidRPr="00D1021A">
        <w:rPr>
          <w:rFonts w:ascii="Poppins" w:hAnsi="Poppins" w:cs="Poppins"/>
        </w:rPr>
        <w:t>: A</w:t>
      </w:r>
      <w:r w:rsidRPr="00D1021A">
        <w:rPr>
          <w:rFonts w:ascii="Poppins" w:hAnsi="Poppins" w:cs="Poppins"/>
        </w:rPr>
        <w:t>lle Menschen können zu einer stetigen Verbesserung von OER beitragen</w:t>
      </w:r>
      <w:r w:rsidR="00EF32B5" w:rsidRPr="00D1021A">
        <w:rPr>
          <w:rFonts w:ascii="Poppins" w:hAnsi="Poppins" w:cs="Poppins"/>
        </w:rPr>
        <w:t>. A</w:t>
      </w:r>
      <w:r w:rsidRPr="00D1021A">
        <w:rPr>
          <w:rFonts w:ascii="Poppins" w:hAnsi="Poppins" w:cs="Poppins"/>
        </w:rPr>
        <w:t xml:space="preserve">llerdings ist </w:t>
      </w:r>
      <w:r w:rsidR="00EF32B5" w:rsidRPr="00D1021A">
        <w:rPr>
          <w:rFonts w:ascii="Poppins" w:hAnsi="Poppins" w:cs="Poppins"/>
        </w:rPr>
        <w:t>eben</w:t>
      </w:r>
      <w:r w:rsidRPr="00D1021A">
        <w:rPr>
          <w:rFonts w:ascii="Poppins" w:hAnsi="Poppins" w:cs="Poppins"/>
        </w:rPr>
        <w:t xml:space="preserve"> auch die gegenteilige Entwicklung möglich</w:t>
      </w:r>
      <w:r w:rsidR="00EF32B5" w:rsidRPr="00D1021A">
        <w:rPr>
          <w:rFonts w:ascii="Poppins" w:hAnsi="Poppins" w:cs="Poppins"/>
        </w:rPr>
        <w:t xml:space="preserve"> und kann zudem je nach Blickwinkel variieren.</w:t>
      </w:r>
    </w:p>
    <w:p w14:paraId="7B729B6A" w14:textId="41DE64D4" w:rsidR="00B26CFD" w:rsidRPr="00D1021A" w:rsidRDefault="00B26CFD" w:rsidP="00E55947">
      <w:pPr>
        <w:pStyle w:val="Flietext"/>
        <w:jc w:val="left"/>
        <w:rPr>
          <w:rFonts w:ascii="Poppins" w:hAnsi="Poppins" w:cs="Poppins"/>
        </w:rPr>
      </w:pPr>
      <w:r w:rsidRPr="00D1021A">
        <w:rPr>
          <w:rFonts w:ascii="Poppins" w:hAnsi="Poppins" w:cs="Poppins"/>
        </w:rPr>
        <w:t>Gerade aus diesem Grund ist es wichtig, dass OER-Institutionen Prozesse und Mechanismen für ihre OER und Repositorien entwickeln und bereitstellen</w:t>
      </w:r>
      <w:r w:rsidR="00D16A6C" w:rsidRPr="00D1021A">
        <w:rPr>
          <w:rFonts w:ascii="Poppins" w:hAnsi="Poppins" w:cs="Poppins"/>
        </w:rPr>
        <w:t>, welche die Qualität sichern</w:t>
      </w:r>
      <w:r w:rsidRPr="00D1021A">
        <w:rPr>
          <w:rFonts w:ascii="Poppins" w:hAnsi="Poppins" w:cs="Poppins"/>
        </w:rPr>
        <w:t>. Nutzende können sich so darauf verlassen, dass die direkten Angebote der Institution eine hohe Qualität aufweisen</w:t>
      </w:r>
      <w:r w:rsidR="00D16A6C" w:rsidRPr="00D1021A">
        <w:rPr>
          <w:rFonts w:ascii="Poppins" w:hAnsi="Poppins" w:cs="Poppins"/>
        </w:rPr>
        <w:t xml:space="preserve"> und sie sich in einem rechtssicheren Rahmen bewegen.</w:t>
      </w:r>
    </w:p>
    <w:p w14:paraId="3C7DC5B0" w14:textId="1F7EFA3E" w:rsidR="0040385C" w:rsidRPr="00D1021A" w:rsidRDefault="00046E90" w:rsidP="009B614E">
      <w:pPr>
        <w:pStyle w:val="berschrift1"/>
        <w:rPr>
          <w:rFonts w:ascii="Poppins" w:hAnsi="Poppins" w:cs="Poppins"/>
        </w:rPr>
      </w:pPr>
      <w:bookmarkStart w:id="77" w:name="_Toc177037312"/>
      <w:r w:rsidRPr="00D1021A">
        <w:rPr>
          <w:rFonts w:ascii="Poppins" w:hAnsi="Poppins" w:cs="Poppins"/>
        </w:rPr>
        <w:lastRenderedPageBreak/>
        <w:t>Gewährleistung der Qualität</w:t>
      </w:r>
      <w:r w:rsidR="00A923B1" w:rsidRPr="00D1021A">
        <w:rPr>
          <w:rFonts w:ascii="Poppins" w:hAnsi="Poppins" w:cs="Poppins"/>
        </w:rPr>
        <w:t xml:space="preserve"> an der HOOU</w:t>
      </w:r>
      <w:bookmarkEnd w:id="77"/>
    </w:p>
    <w:p w14:paraId="5FF8BE26" w14:textId="22258AFB" w:rsidR="009123EE" w:rsidRPr="00D1021A" w:rsidRDefault="00046E90" w:rsidP="00E55947">
      <w:pPr>
        <w:spacing w:line="360" w:lineRule="auto"/>
        <w:rPr>
          <w:rFonts w:ascii="Poppins" w:hAnsi="Poppins" w:cs="Poppins"/>
          <w:sz w:val="24"/>
          <w:szCs w:val="24"/>
        </w:rPr>
      </w:pPr>
      <w:r w:rsidRPr="00D1021A">
        <w:rPr>
          <w:rFonts w:ascii="Poppins" w:hAnsi="Poppins" w:cs="Poppins"/>
          <w:sz w:val="24"/>
          <w:szCs w:val="24"/>
        </w:rPr>
        <w:t xml:space="preserve">Die Qualitätsstandards von Open Educational Resources haben sich in den letzten Jahren stetig weiterentwickelt und verbessert. OER werden in Bildungseinrichtungen und darüber hinaus aufgrund ihrer </w:t>
      </w:r>
      <w:r w:rsidR="00F010FC" w:rsidRPr="00D1021A">
        <w:rPr>
          <w:rFonts w:ascii="Poppins" w:hAnsi="Poppins" w:cs="Poppins"/>
          <w:sz w:val="24"/>
          <w:szCs w:val="24"/>
        </w:rPr>
        <w:t xml:space="preserve">Kostenfreiheit </w:t>
      </w:r>
      <w:r w:rsidRPr="00D1021A">
        <w:rPr>
          <w:rFonts w:ascii="Poppins" w:hAnsi="Poppins" w:cs="Poppins"/>
          <w:sz w:val="24"/>
          <w:szCs w:val="24"/>
        </w:rPr>
        <w:t xml:space="preserve">und Zugänglichkeit zunehmend </w:t>
      </w:r>
      <w:r w:rsidRPr="00D1021A">
        <w:rPr>
          <w:rStyle w:val="FlietextZchn"/>
          <w:rFonts w:ascii="Poppins" w:hAnsi="Poppins" w:cs="Poppins"/>
        </w:rPr>
        <w:t>anerkannt und angenommen. Aus diesem Grund haben sich Qualitätssicherungsmechanismen immer mehr durchgesetzt (</w:t>
      </w:r>
      <w:bookmarkStart w:id="78" w:name="_Hlk173936371"/>
      <w:r w:rsidRPr="00D1021A">
        <w:rPr>
          <w:rStyle w:val="FlietextZchn"/>
          <w:rFonts w:ascii="Poppins" w:hAnsi="Poppins" w:cs="Poppins"/>
        </w:rPr>
        <w:t>vgl. ENCORE+, 2023a, S. 27</w:t>
      </w:r>
      <w:bookmarkEnd w:id="78"/>
      <w:r w:rsidRPr="00D1021A">
        <w:rPr>
          <w:rStyle w:val="FlietextZchn"/>
          <w:rFonts w:ascii="Poppins" w:hAnsi="Poppins" w:cs="Poppins"/>
        </w:rPr>
        <w:t>). Auch die HOOU hat sich der Sicherung der Qualität ihrer Inhalte angenommen und ein Qualitätsverständnis sowie Qualitätssicherungssystem erarbeitet.</w:t>
      </w:r>
    </w:p>
    <w:p w14:paraId="379A95A5" w14:textId="77777777" w:rsidR="0040385C" w:rsidRPr="00D1021A" w:rsidRDefault="00046E90" w:rsidP="009B614E">
      <w:pPr>
        <w:pStyle w:val="berschrift2"/>
        <w:rPr>
          <w:rFonts w:ascii="Poppins" w:hAnsi="Poppins" w:cs="Poppins"/>
        </w:rPr>
      </w:pPr>
      <w:bookmarkStart w:id="79" w:name="_Toc177037313"/>
      <w:r w:rsidRPr="00D1021A">
        <w:rPr>
          <w:rFonts w:ascii="Poppins" w:hAnsi="Poppins" w:cs="Poppins"/>
        </w:rPr>
        <w:t>Das Qualitätsverständnis der HOOU</w:t>
      </w:r>
      <w:bookmarkEnd w:id="79"/>
    </w:p>
    <w:p w14:paraId="6F2A4AD9" w14:textId="697E6D07" w:rsidR="007E58BF" w:rsidRPr="001E7009" w:rsidRDefault="00046E90" w:rsidP="00E55947">
      <w:pPr>
        <w:pStyle w:val="Flietext"/>
        <w:jc w:val="left"/>
        <w:rPr>
          <w:rFonts w:ascii="Poppins" w:hAnsi="Poppins" w:cs="Poppins"/>
        </w:rPr>
      </w:pPr>
      <w:r w:rsidRPr="00D1021A">
        <w:rPr>
          <w:rFonts w:ascii="Poppins" w:hAnsi="Poppins" w:cs="Poppins"/>
        </w:rPr>
        <w:t xml:space="preserve">Die HOOU sieht die Gewährleistung der Qualität als einen entscheidenden Baustein, um die Nutzung und Weiterverwendung von OER und somit auch die Lernangebote der HOOU zu fördern. Gemäß ihrer Mission und ihrem Ziel wird das Handeln der HOOU von vier Leitideen bestimmt. Diese </w:t>
      </w:r>
      <w:r w:rsidRPr="001E7009">
        <w:rPr>
          <w:rFonts w:ascii="Poppins" w:hAnsi="Poppins" w:cs="Poppins"/>
        </w:rPr>
        <w:t>konkretisieren sich in vier Pflichtkriterie</w:t>
      </w:r>
      <w:r w:rsidR="006B25EE" w:rsidRPr="001E7009">
        <w:rPr>
          <w:rFonts w:ascii="Poppins" w:hAnsi="Poppins" w:cs="Poppins"/>
        </w:rPr>
        <w:t>n (</w:t>
      </w:r>
      <w:r w:rsidR="00F20C85" w:rsidRPr="001E7009">
        <w:rPr>
          <w:rFonts w:ascii="Poppins" w:hAnsi="Poppins" w:cs="Poppins"/>
        </w:rPr>
        <w:t xml:space="preserve">siehe </w:t>
      </w:r>
      <w:r w:rsidR="006B25EE" w:rsidRPr="001E7009">
        <w:rPr>
          <w:rFonts w:ascii="Poppins" w:hAnsi="Poppins" w:cs="Poppins"/>
        </w:rPr>
        <w:t xml:space="preserve">Kapitel </w:t>
      </w:r>
      <w:r w:rsidR="00F20C85" w:rsidRPr="001E7009">
        <w:rPr>
          <w:rFonts w:ascii="Poppins" w:hAnsi="Poppins" w:cs="Poppins"/>
        </w:rPr>
        <w:t xml:space="preserve">5.4 Vier HOOU-Qualitätskriterien, S. </w:t>
      </w:r>
      <w:r w:rsidR="00C96425" w:rsidRPr="001E7009">
        <w:rPr>
          <w:rFonts w:ascii="Poppins" w:hAnsi="Poppins" w:cs="Poppins"/>
        </w:rPr>
        <w:t>36</w:t>
      </w:r>
      <w:r w:rsidR="006B25EE" w:rsidRPr="001E7009">
        <w:rPr>
          <w:rFonts w:ascii="Poppins" w:hAnsi="Poppins" w:cs="Poppins"/>
        </w:rPr>
        <w:t>)</w:t>
      </w:r>
      <w:r w:rsidRPr="001E7009">
        <w:rPr>
          <w:rFonts w:ascii="Poppins" w:hAnsi="Poppins" w:cs="Poppins"/>
        </w:rPr>
        <w:t>.</w:t>
      </w:r>
    </w:p>
    <w:p w14:paraId="4D5A3AD9" w14:textId="4E2B7B31" w:rsidR="00862822" w:rsidRPr="00D1021A" w:rsidRDefault="00862822" w:rsidP="00E55947">
      <w:pPr>
        <w:pStyle w:val="Flietext"/>
        <w:jc w:val="left"/>
        <w:rPr>
          <w:rFonts w:ascii="Poppins" w:hAnsi="Poppins" w:cs="Poppins"/>
        </w:rPr>
      </w:pPr>
      <w:r w:rsidRPr="001E7009">
        <w:rPr>
          <w:rFonts w:ascii="Poppins" w:hAnsi="Poppins" w:cs="Poppins"/>
        </w:rPr>
        <w:t>Der HOOU ist es wichtig, die Richtlinien und den Rahmen zur Sicherstellung der Qualität der Inhalte zu bieten, aber gleichzeitig Raum für Kreativität, Diskussion und Innovation zu ermöglichen.</w:t>
      </w:r>
      <w:r w:rsidR="005D3089" w:rsidRPr="001E7009">
        <w:rPr>
          <w:rFonts w:ascii="Poppins" w:hAnsi="Poppins" w:cs="Poppins"/>
        </w:rPr>
        <w:t xml:space="preserve"> </w:t>
      </w:r>
      <w:r w:rsidR="0001730A" w:rsidRPr="001E7009">
        <w:rPr>
          <w:rFonts w:ascii="Poppins" w:hAnsi="Poppins" w:cs="Poppins"/>
        </w:rPr>
        <w:t xml:space="preserve">So wird den verschiedenen Fachkulturen nicht nur Rechnung </w:t>
      </w:r>
      <w:r w:rsidR="0001730A" w:rsidRPr="00D1021A">
        <w:rPr>
          <w:rFonts w:ascii="Poppins" w:hAnsi="Poppins" w:cs="Poppins"/>
        </w:rPr>
        <w:t xml:space="preserve">getragen, sondern die Potenziale der Vielfältigkeit </w:t>
      </w:r>
      <w:r w:rsidR="00675FAE" w:rsidRPr="00D1021A">
        <w:rPr>
          <w:rFonts w:ascii="Poppins" w:hAnsi="Poppins" w:cs="Poppins"/>
        </w:rPr>
        <w:t xml:space="preserve">werden </w:t>
      </w:r>
      <w:r w:rsidR="0001730A" w:rsidRPr="00D1021A">
        <w:rPr>
          <w:rFonts w:ascii="Poppins" w:hAnsi="Poppins" w:cs="Poppins"/>
        </w:rPr>
        <w:t xml:space="preserve">genutzt. </w:t>
      </w:r>
      <w:r w:rsidR="005D3089" w:rsidRPr="00D1021A">
        <w:rPr>
          <w:rFonts w:ascii="Poppins" w:hAnsi="Poppins" w:cs="Poppins"/>
        </w:rPr>
        <w:t xml:space="preserve">Zudem steht die HOOU im Austausch mit anderen OER-Institutionen und strebt eine Vergleichbarkeit der Qualität </w:t>
      </w:r>
      <w:r w:rsidR="005D3089" w:rsidRPr="00D1021A">
        <w:rPr>
          <w:rFonts w:ascii="Poppins" w:hAnsi="Poppins" w:cs="Poppins"/>
        </w:rPr>
        <w:lastRenderedPageBreak/>
        <w:t>der Inhalte an</w:t>
      </w:r>
      <w:r w:rsidR="008C68AA" w:rsidRPr="00D1021A">
        <w:rPr>
          <w:rFonts w:ascii="Poppins" w:hAnsi="Poppins" w:cs="Poppins"/>
        </w:rPr>
        <w:t>. Die HOOU</w:t>
      </w:r>
      <w:r w:rsidR="005D3089" w:rsidRPr="00D1021A">
        <w:rPr>
          <w:rFonts w:ascii="Poppins" w:hAnsi="Poppins" w:cs="Poppins"/>
        </w:rPr>
        <w:t xml:space="preserve"> ist </w:t>
      </w:r>
      <w:r w:rsidR="00675FAE" w:rsidRPr="00D1021A">
        <w:rPr>
          <w:rFonts w:ascii="Poppins" w:hAnsi="Poppins" w:cs="Poppins"/>
        </w:rPr>
        <w:t>Mitglied d</w:t>
      </w:r>
      <w:r w:rsidR="005D3089" w:rsidRPr="00D1021A">
        <w:rPr>
          <w:rFonts w:ascii="Poppins" w:hAnsi="Poppins" w:cs="Poppins"/>
        </w:rPr>
        <w:t>er KMK-Unterarbeitsgruppe zu OER-Qualität.</w:t>
      </w:r>
    </w:p>
    <w:p w14:paraId="72F667D0" w14:textId="0A282E7D" w:rsidR="00265BA1" w:rsidRPr="00D1021A" w:rsidRDefault="00265BA1" w:rsidP="00E55947">
      <w:pPr>
        <w:pStyle w:val="Flietext"/>
        <w:jc w:val="left"/>
        <w:rPr>
          <w:rFonts w:ascii="Poppins" w:hAnsi="Poppins" w:cs="Poppins"/>
        </w:rPr>
      </w:pPr>
      <w:r w:rsidRPr="00D1021A">
        <w:rPr>
          <w:rFonts w:ascii="Poppins" w:hAnsi="Poppins" w:cs="Poppins"/>
        </w:rPr>
        <w:t xml:space="preserve">Bei HOOU-Projekten wird die Gewährleistung der Qualität </w:t>
      </w:r>
      <w:r w:rsidR="002D573B" w:rsidRPr="00D1021A">
        <w:rPr>
          <w:rFonts w:ascii="Poppins" w:hAnsi="Poppins" w:cs="Poppins"/>
        </w:rPr>
        <w:t xml:space="preserve">von </w:t>
      </w:r>
      <w:r w:rsidRPr="00D1021A">
        <w:rPr>
          <w:rFonts w:ascii="Poppins" w:hAnsi="Poppins" w:cs="Poppins"/>
        </w:rPr>
        <w:t>OER von Anfang an mitgedacht und bezieh</w:t>
      </w:r>
      <w:r w:rsidR="008C68AA" w:rsidRPr="00D1021A">
        <w:rPr>
          <w:rFonts w:ascii="Poppins" w:hAnsi="Poppins" w:cs="Poppins"/>
        </w:rPr>
        <w:t>t</w:t>
      </w:r>
      <w:r w:rsidRPr="00D1021A">
        <w:rPr>
          <w:rFonts w:ascii="Poppins" w:hAnsi="Poppins" w:cs="Poppins"/>
        </w:rPr>
        <w:t xml:space="preserve"> sich auf den gesamten </w:t>
      </w:r>
      <w:r w:rsidR="00CC11A5" w:rsidRPr="00D1021A">
        <w:rPr>
          <w:rFonts w:ascii="Poppins" w:hAnsi="Poppins" w:cs="Poppins"/>
        </w:rPr>
        <w:t>Entwicklungsprozess. Dabei</w:t>
      </w:r>
      <w:r w:rsidRPr="00D1021A">
        <w:rPr>
          <w:rFonts w:ascii="Poppins" w:hAnsi="Poppins" w:cs="Poppins"/>
        </w:rPr>
        <w:t xml:space="preserve"> wird eine ganzheitliche Perspektive eingenommen, die den gesamten OER-Lebenszyklus (OER-Lifecycle) betrachtet.</w:t>
      </w:r>
    </w:p>
    <w:p w14:paraId="01748E65" w14:textId="5ECA0B54" w:rsidR="00835417" w:rsidRPr="001E7009" w:rsidRDefault="00265BA1" w:rsidP="00E55947">
      <w:pPr>
        <w:pStyle w:val="Flietext"/>
        <w:jc w:val="left"/>
        <w:rPr>
          <w:rFonts w:ascii="Poppins" w:hAnsi="Poppins" w:cs="Poppins"/>
        </w:rPr>
      </w:pPr>
      <w:r w:rsidRPr="00D1021A">
        <w:rPr>
          <w:rFonts w:ascii="Poppins" w:hAnsi="Poppins" w:cs="Poppins"/>
        </w:rPr>
        <w:t>Die HOOU sieht sich als Vorreiter</w:t>
      </w:r>
      <w:r w:rsidR="003B7892" w:rsidRPr="00D1021A">
        <w:rPr>
          <w:rFonts w:ascii="Poppins" w:hAnsi="Poppins" w:cs="Poppins"/>
        </w:rPr>
        <w:t>in</w:t>
      </w:r>
      <w:r w:rsidRPr="00D1021A">
        <w:rPr>
          <w:rFonts w:ascii="Poppins" w:hAnsi="Poppins" w:cs="Poppins"/>
        </w:rPr>
        <w:t xml:space="preserve"> für </w:t>
      </w:r>
      <w:r w:rsidR="008C48B4" w:rsidRPr="00D1021A">
        <w:rPr>
          <w:rFonts w:ascii="Poppins" w:hAnsi="Poppins" w:cs="Poppins"/>
        </w:rPr>
        <w:t>neue, innovative Lernformate</w:t>
      </w:r>
      <w:r w:rsidR="003B7892" w:rsidRPr="00D1021A">
        <w:rPr>
          <w:rFonts w:ascii="Poppins" w:hAnsi="Poppins" w:cs="Poppins"/>
        </w:rPr>
        <w:t>.</w:t>
      </w:r>
      <w:r w:rsidR="008C48B4" w:rsidRPr="00D1021A">
        <w:rPr>
          <w:rFonts w:ascii="Poppins" w:hAnsi="Poppins" w:cs="Poppins"/>
        </w:rPr>
        <w:t xml:space="preserve"> </w:t>
      </w:r>
      <w:r w:rsidR="003B7892" w:rsidRPr="00D1021A">
        <w:rPr>
          <w:rFonts w:ascii="Poppins" w:hAnsi="Poppins" w:cs="Poppins"/>
        </w:rPr>
        <w:t>Au</w:t>
      </w:r>
      <w:r w:rsidR="008C48B4" w:rsidRPr="00D1021A">
        <w:rPr>
          <w:rFonts w:ascii="Poppins" w:hAnsi="Poppins" w:cs="Poppins"/>
        </w:rPr>
        <w:t xml:space="preserve">ch </w:t>
      </w:r>
      <w:r w:rsidR="003B7892" w:rsidRPr="00D1021A">
        <w:rPr>
          <w:rFonts w:ascii="Poppins" w:hAnsi="Poppins" w:cs="Poppins"/>
        </w:rPr>
        <w:t xml:space="preserve">auf der </w:t>
      </w:r>
      <w:r w:rsidR="008C48B4" w:rsidRPr="00D1021A">
        <w:rPr>
          <w:rFonts w:ascii="Poppins" w:hAnsi="Poppins" w:cs="Poppins"/>
        </w:rPr>
        <w:t>Plattform</w:t>
      </w:r>
      <w:r w:rsidR="003B7892" w:rsidRPr="00D1021A">
        <w:rPr>
          <w:rFonts w:ascii="Poppins" w:hAnsi="Poppins" w:cs="Poppins"/>
        </w:rPr>
        <w:t xml:space="preserve"> erprobt sie</w:t>
      </w:r>
      <w:r w:rsidR="008C48B4" w:rsidRPr="00D1021A">
        <w:rPr>
          <w:rFonts w:ascii="Poppins" w:hAnsi="Poppins" w:cs="Poppins"/>
        </w:rPr>
        <w:t xml:space="preserve"> neue (didaktische) Wege</w:t>
      </w:r>
      <w:r w:rsidR="003B7892" w:rsidRPr="00D1021A">
        <w:rPr>
          <w:rFonts w:ascii="Poppins" w:hAnsi="Poppins" w:cs="Poppins"/>
        </w:rPr>
        <w:t>.</w:t>
      </w:r>
      <w:r w:rsidR="008C48B4" w:rsidRPr="00D1021A">
        <w:rPr>
          <w:rFonts w:ascii="Poppins" w:hAnsi="Poppins" w:cs="Poppins"/>
        </w:rPr>
        <w:t xml:space="preserve"> </w:t>
      </w:r>
      <w:r w:rsidR="007E58BF" w:rsidRPr="00D1021A">
        <w:rPr>
          <w:rFonts w:ascii="Poppins" w:hAnsi="Poppins" w:cs="Poppins"/>
        </w:rPr>
        <w:t>Das</w:t>
      </w:r>
      <w:r w:rsidR="003B7892" w:rsidRPr="00D1021A">
        <w:rPr>
          <w:rFonts w:ascii="Poppins" w:hAnsi="Poppins" w:cs="Poppins"/>
        </w:rPr>
        <w:t xml:space="preserve"> Ziel ist,</w:t>
      </w:r>
      <w:r w:rsidR="00F22342" w:rsidRPr="00D1021A">
        <w:rPr>
          <w:rFonts w:ascii="Poppins" w:hAnsi="Poppins" w:cs="Poppins"/>
        </w:rPr>
        <w:t xml:space="preserve"> das besondere Potenzial von OER aus</w:t>
      </w:r>
      <w:r w:rsidR="003B7892" w:rsidRPr="00D1021A">
        <w:rPr>
          <w:rFonts w:ascii="Poppins" w:hAnsi="Poppins" w:cs="Poppins"/>
        </w:rPr>
        <w:t>zu</w:t>
      </w:r>
      <w:r w:rsidR="00F22342" w:rsidRPr="00D1021A">
        <w:rPr>
          <w:rFonts w:ascii="Poppins" w:hAnsi="Poppins" w:cs="Poppins"/>
        </w:rPr>
        <w:t>schöpf</w:t>
      </w:r>
      <w:r w:rsidR="003B7892" w:rsidRPr="00D1021A">
        <w:rPr>
          <w:rFonts w:ascii="Poppins" w:hAnsi="Poppins" w:cs="Poppins"/>
        </w:rPr>
        <w:t>en</w:t>
      </w:r>
      <w:r w:rsidR="00F22342" w:rsidRPr="00D1021A">
        <w:rPr>
          <w:rFonts w:ascii="Poppins" w:hAnsi="Poppins" w:cs="Poppins"/>
        </w:rPr>
        <w:t xml:space="preserve">. </w:t>
      </w:r>
      <w:r w:rsidR="003B7892" w:rsidRPr="00D1021A">
        <w:rPr>
          <w:rFonts w:ascii="Poppins" w:hAnsi="Poppins" w:cs="Poppins"/>
        </w:rPr>
        <w:t>Dabei geben die</w:t>
      </w:r>
      <w:r w:rsidR="008C68AA" w:rsidRPr="00D1021A">
        <w:rPr>
          <w:rFonts w:ascii="Poppins" w:hAnsi="Poppins" w:cs="Poppins"/>
        </w:rPr>
        <w:t xml:space="preserve"> </w:t>
      </w:r>
      <w:r w:rsidR="008C48B4" w:rsidRPr="00D1021A">
        <w:rPr>
          <w:rFonts w:ascii="Poppins" w:hAnsi="Poppins" w:cs="Poppins"/>
        </w:rPr>
        <w:t>vier HOOU-Leitidee</w:t>
      </w:r>
      <w:r w:rsidR="003B7892" w:rsidRPr="00D1021A">
        <w:rPr>
          <w:rFonts w:ascii="Poppins" w:hAnsi="Poppins" w:cs="Poppins"/>
        </w:rPr>
        <w:t>n Orientierung</w:t>
      </w:r>
      <w:r w:rsidR="007E58BF" w:rsidRPr="00D1021A">
        <w:rPr>
          <w:rFonts w:ascii="Poppins" w:hAnsi="Poppins" w:cs="Poppins"/>
        </w:rPr>
        <w:t xml:space="preserve">. </w:t>
      </w:r>
      <w:r w:rsidR="003B7892" w:rsidRPr="001E7009">
        <w:rPr>
          <w:rFonts w:ascii="Poppins" w:hAnsi="Poppins" w:cs="Poppins"/>
        </w:rPr>
        <w:t xml:space="preserve">Sowohl die Gestaltung unserer Lernangebote als auch die Entwicklung des HOOU-QMS betrachten wir als iterative Prozess im Sinne des </w:t>
      </w:r>
      <w:r w:rsidR="008C48B4" w:rsidRPr="001E7009">
        <w:rPr>
          <w:rFonts w:ascii="Poppins" w:hAnsi="Poppins" w:cs="Poppins"/>
        </w:rPr>
        <w:t>Deming-Kreise</w:t>
      </w:r>
      <w:r w:rsidR="00351389" w:rsidRPr="001E7009">
        <w:rPr>
          <w:rFonts w:ascii="Poppins" w:hAnsi="Poppins" w:cs="Poppins"/>
        </w:rPr>
        <w:t>s</w:t>
      </w:r>
      <w:r w:rsidR="003B7892" w:rsidRPr="001E7009">
        <w:rPr>
          <w:rFonts w:ascii="Poppins" w:hAnsi="Poppins" w:cs="Poppins"/>
        </w:rPr>
        <w:t xml:space="preserve"> (</w:t>
      </w:r>
      <w:r w:rsidR="00351389" w:rsidRPr="001E7009">
        <w:rPr>
          <w:rFonts w:ascii="Poppins" w:hAnsi="Poppins" w:cs="Poppins"/>
        </w:rPr>
        <w:t>s</w:t>
      </w:r>
      <w:r w:rsidR="003B7892" w:rsidRPr="001E7009">
        <w:rPr>
          <w:rFonts w:ascii="Poppins" w:hAnsi="Poppins" w:cs="Poppins"/>
        </w:rPr>
        <w:t xml:space="preserve">iehe </w:t>
      </w:r>
      <w:r w:rsidR="00351389" w:rsidRPr="001E7009">
        <w:rPr>
          <w:rFonts w:ascii="Poppins" w:hAnsi="Poppins" w:cs="Poppins"/>
        </w:rPr>
        <w:t>Kapitel 2.2.3 Qualität von Lehr-/Lernressourcen, S.</w:t>
      </w:r>
      <w:r w:rsidR="00C96425" w:rsidRPr="001E7009">
        <w:rPr>
          <w:rFonts w:ascii="Poppins" w:hAnsi="Poppins" w:cs="Poppins"/>
        </w:rPr>
        <w:t xml:space="preserve"> </w:t>
      </w:r>
      <w:r w:rsidR="00351389" w:rsidRPr="001E7009">
        <w:rPr>
          <w:rFonts w:ascii="Poppins" w:hAnsi="Poppins" w:cs="Poppins"/>
        </w:rPr>
        <w:t>1</w:t>
      </w:r>
      <w:r w:rsidR="00C96425" w:rsidRPr="001E7009">
        <w:rPr>
          <w:rFonts w:ascii="Poppins" w:hAnsi="Poppins" w:cs="Poppins"/>
        </w:rPr>
        <w:t>6</w:t>
      </w:r>
      <w:r w:rsidR="003B7892" w:rsidRPr="001E7009">
        <w:rPr>
          <w:rFonts w:ascii="Poppins" w:hAnsi="Poppins" w:cs="Poppins"/>
        </w:rPr>
        <w:t>)</w:t>
      </w:r>
      <w:r w:rsidR="00351389" w:rsidRPr="001E7009">
        <w:rPr>
          <w:rFonts w:ascii="Poppins" w:hAnsi="Poppins" w:cs="Poppins"/>
        </w:rPr>
        <w:t>.</w:t>
      </w:r>
    </w:p>
    <w:p w14:paraId="7EFE2E23" w14:textId="7EA53B99" w:rsidR="002D2374" w:rsidRPr="00D1021A" w:rsidRDefault="002D2374" w:rsidP="002D2374">
      <w:pPr>
        <w:pStyle w:val="berschrift2"/>
        <w:rPr>
          <w:rFonts w:ascii="Poppins" w:hAnsi="Poppins" w:cs="Poppins"/>
        </w:rPr>
      </w:pPr>
      <w:bookmarkStart w:id="80" w:name="_Toc177037314"/>
      <w:r w:rsidRPr="00D1021A">
        <w:rPr>
          <w:rFonts w:ascii="Poppins" w:hAnsi="Poppins" w:cs="Poppins"/>
        </w:rPr>
        <w:t>OER-</w:t>
      </w:r>
      <w:proofErr w:type="spellStart"/>
      <w:r w:rsidRPr="00D1021A">
        <w:rPr>
          <w:rFonts w:ascii="Poppins" w:hAnsi="Poppins" w:cs="Poppins"/>
        </w:rPr>
        <w:t>Qualitä</w:t>
      </w:r>
      <w:r w:rsidR="002D573B" w:rsidRPr="00D1021A">
        <w:rPr>
          <w:rFonts w:ascii="Poppins" w:hAnsi="Poppins" w:cs="Poppins"/>
        </w:rPr>
        <w:t>t</w:t>
      </w:r>
      <w:r w:rsidRPr="00D1021A">
        <w:rPr>
          <w:rFonts w:ascii="Poppins" w:hAnsi="Poppins" w:cs="Poppins"/>
        </w:rPr>
        <w:t>skriterienset</w:t>
      </w:r>
      <w:proofErr w:type="spellEnd"/>
      <w:r w:rsidRPr="00D1021A">
        <w:rPr>
          <w:rFonts w:ascii="Poppins" w:hAnsi="Poppins" w:cs="Poppins"/>
        </w:rPr>
        <w:t xml:space="preserve"> (HOOU)</w:t>
      </w:r>
      <w:bookmarkEnd w:id="80"/>
    </w:p>
    <w:p w14:paraId="5836FE6C" w14:textId="76391A87" w:rsidR="0040385C" w:rsidRPr="00D1021A" w:rsidRDefault="00046E90" w:rsidP="00E55947">
      <w:pPr>
        <w:pStyle w:val="Flietext"/>
        <w:jc w:val="left"/>
        <w:rPr>
          <w:rFonts w:ascii="Poppins" w:hAnsi="Poppins" w:cs="Poppins"/>
        </w:rPr>
      </w:pPr>
      <w:r w:rsidRPr="00D1021A">
        <w:rPr>
          <w:rFonts w:ascii="Poppins" w:hAnsi="Poppins" w:cs="Poppins"/>
        </w:rPr>
        <w:t>Es gibt eine Vielzahl von OER-Qualitätskriterien und OER-</w:t>
      </w:r>
      <w:proofErr w:type="spellStart"/>
      <w:r w:rsidRPr="00D1021A">
        <w:rPr>
          <w:rFonts w:ascii="Poppins" w:hAnsi="Poppins" w:cs="Poppins"/>
        </w:rPr>
        <w:t>Qualitätskriteriensets</w:t>
      </w:r>
      <w:proofErr w:type="spellEnd"/>
      <w:r w:rsidRPr="00D1021A">
        <w:rPr>
          <w:rFonts w:ascii="Poppins" w:hAnsi="Poppins" w:cs="Poppins"/>
        </w:rPr>
        <w:t xml:space="preserve">. In den Jahren 2017/2018 wurde von Kerstin </w:t>
      </w:r>
      <w:proofErr w:type="spellStart"/>
      <w:r w:rsidRPr="00D1021A">
        <w:rPr>
          <w:rFonts w:ascii="Poppins" w:hAnsi="Poppins" w:cs="Poppins"/>
        </w:rPr>
        <w:t>Mayrberger</w:t>
      </w:r>
      <w:proofErr w:type="spellEnd"/>
      <w:r w:rsidRPr="00D1021A">
        <w:rPr>
          <w:rFonts w:ascii="Poppins" w:hAnsi="Poppins" w:cs="Poppins"/>
        </w:rPr>
        <w:t xml:space="preserve">, Olaf </w:t>
      </w:r>
      <w:proofErr w:type="spellStart"/>
      <w:r w:rsidRPr="00D1021A">
        <w:rPr>
          <w:rFonts w:ascii="Poppins" w:hAnsi="Poppins" w:cs="Poppins"/>
        </w:rPr>
        <w:t>Zawacki</w:t>
      </w:r>
      <w:proofErr w:type="spellEnd"/>
      <w:r w:rsidRPr="00D1021A">
        <w:rPr>
          <w:rFonts w:ascii="Poppins" w:hAnsi="Poppins" w:cs="Poppins"/>
        </w:rPr>
        <w:t xml:space="preserve">-Richter und Wolfgang </w:t>
      </w:r>
      <w:proofErr w:type="spellStart"/>
      <w:r w:rsidRPr="00D1021A">
        <w:rPr>
          <w:rFonts w:ascii="Poppins" w:hAnsi="Poppins" w:cs="Poppins"/>
        </w:rPr>
        <w:t>Müskens</w:t>
      </w:r>
      <w:proofErr w:type="spellEnd"/>
      <w:r w:rsidRPr="00D1021A">
        <w:rPr>
          <w:rFonts w:ascii="Poppins" w:hAnsi="Poppins" w:cs="Poppins"/>
        </w:rPr>
        <w:t xml:space="preserve"> eine internationale Bestandsaufnahme zur Qualitätssicherung von OER durchgeführt. Verglichen wurden </w:t>
      </w:r>
      <w:r w:rsidR="005715C1" w:rsidRPr="00D1021A">
        <w:rPr>
          <w:rFonts w:ascii="Poppins" w:hAnsi="Poppins" w:cs="Poppins"/>
        </w:rPr>
        <w:t>acht</w:t>
      </w:r>
      <w:r w:rsidRPr="00D1021A">
        <w:rPr>
          <w:rFonts w:ascii="Poppins" w:hAnsi="Poppins" w:cs="Poppins"/>
        </w:rPr>
        <w:t xml:space="preserve"> verschiedene Evaluationsmodelle. Anschließend wurde ein </w:t>
      </w:r>
      <w:proofErr w:type="spellStart"/>
      <w:r w:rsidRPr="00D1021A">
        <w:rPr>
          <w:rFonts w:ascii="Poppins" w:hAnsi="Poppins" w:cs="Poppins"/>
        </w:rPr>
        <w:t>Qualitätskriterienset</w:t>
      </w:r>
      <w:proofErr w:type="spellEnd"/>
      <w:r w:rsidRPr="00D1021A">
        <w:rPr>
          <w:rFonts w:ascii="Poppins" w:hAnsi="Poppins" w:cs="Poppins"/>
        </w:rPr>
        <w:t xml:space="preserve"> am Beispiel der HOOU entwickelt</w:t>
      </w:r>
      <w:r w:rsidR="00AA1243" w:rsidRPr="00D1021A">
        <w:rPr>
          <w:rFonts w:ascii="Poppins" w:hAnsi="Poppins" w:cs="Poppins"/>
        </w:rPr>
        <w:t xml:space="preserve"> (vgl. </w:t>
      </w:r>
      <w:bookmarkStart w:id="81" w:name="_Hlk173937913"/>
      <w:proofErr w:type="spellStart"/>
      <w:r w:rsidR="00AA1243" w:rsidRPr="00D1021A">
        <w:rPr>
          <w:rFonts w:ascii="Poppins" w:hAnsi="Poppins" w:cs="Poppins"/>
        </w:rPr>
        <w:t>Zawacki</w:t>
      </w:r>
      <w:proofErr w:type="spellEnd"/>
      <w:r w:rsidR="00AA1243" w:rsidRPr="00D1021A">
        <w:rPr>
          <w:rFonts w:ascii="Poppins" w:hAnsi="Poppins" w:cs="Poppins"/>
        </w:rPr>
        <w:t xml:space="preserve">-Richter &amp; </w:t>
      </w:r>
      <w:proofErr w:type="spellStart"/>
      <w:r w:rsidR="00AA1243" w:rsidRPr="00D1021A">
        <w:rPr>
          <w:rFonts w:ascii="Poppins" w:hAnsi="Poppins" w:cs="Poppins"/>
        </w:rPr>
        <w:t>Mayrberger</w:t>
      </w:r>
      <w:proofErr w:type="spellEnd"/>
      <w:r w:rsidR="00AA1243" w:rsidRPr="00D1021A">
        <w:rPr>
          <w:rFonts w:ascii="Poppins" w:hAnsi="Poppins" w:cs="Poppins"/>
        </w:rPr>
        <w:t xml:space="preserve">, 2017 / </w:t>
      </w:r>
      <w:proofErr w:type="spellStart"/>
      <w:r w:rsidR="00AA1243" w:rsidRPr="00D1021A">
        <w:rPr>
          <w:rFonts w:ascii="Poppins" w:hAnsi="Poppins" w:cs="Poppins"/>
        </w:rPr>
        <w:t>Mayrberger</w:t>
      </w:r>
      <w:proofErr w:type="spellEnd"/>
      <w:r w:rsidR="00AA1243" w:rsidRPr="00D1021A">
        <w:rPr>
          <w:rFonts w:ascii="Poppins" w:hAnsi="Poppins" w:cs="Poppins"/>
        </w:rPr>
        <w:t xml:space="preserve"> et al., </w:t>
      </w:r>
      <w:r w:rsidR="00AA1243" w:rsidRPr="00D1021A">
        <w:rPr>
          <w:rFonts w:ascii="Poppins" w:hAnsi="Poppins" w:cs="Poppins"/>
        </w:rPr>
        <w:lastRenderedPageBreak/>
        <w:t>2018</w:t>
      </w:r>
      <w:bookmarkEnd w:id="81"/>
      <w:r w:rsidR="00AA1243" w:rsidRPr="00D1021A">
        <w:rPr>
          <w:rFonts w:ascii="Poppins" w:hAnsi="Poppins" w:cs="Poppins"/>
        </w:rPr>
        <w:t>)</w:t>
      </w:r>
      <w:r w:rsidRPr="00D1021A">
        <w:rPr>
          <w:rFonts w:ascii="Poppins" w:hAnsi="Poppins" w:cs="Poppins"/>
        </w:rPr>
        <w:t>. Dieses Kriterien-Set wird heute von verschiedenen OER-Initiativen verwendet und schafft so</w:t>
      </w:r>
      <w:r w:rsidR="00AA1243" w:rsidRPr="00D1021A">
        <w:rPr>
          <w:rFonts w:ascii="Poppins" w:hAnsi="Poppins" w:cs="Poppins"/>
        </w:rPr>
        <w:t>mit</w:t>
      </w:r>
      <w:r w:rsidRPr="00D1021A">
        <w:rPr>
          <w:rFonts w:ascii="Poppins" w:hAnsi="Poppins" w:cs="Poppins"/>
        </w:rPr>
        <w:t xml:space="preserve"> eine Vergleichbarkeit</w:t>
      </w:r>
      <w:r w:rsidR="00F22342" w:rsidRPr="00D1021A">
        <w:rPr>
          <w:rFonts w:ascii="Poppins" w:hAnsi="Poppins" w:cs="Poppins"/>
        </w:rPr>
        <w:t>. Diese ist</w:t>
      </w:r>
      <w:r w:rsidRPr="00D1021A">
        <w:rPr>
          <w:rFonts w:ascii="Poppins" w:hAnsi="Poppins" w:cs="Poppins"/>
        </w:rPr>
        <w:t xml:space="preserve"> im Besonderen für die Realisierung der 5 V-Freiheiten förderlich ist, da sie z. B. die Auffindbarkeit und die Weiternutzung verschiedener Elemente mit gleichem Qualitätsanspruch vereinfacht. Im </w:t>
      </w:r>
      <w:r w:rsidR="008E73FC" w:rsidRPr="00D1021A">
        <w:rPr>
          <w:rFonts w:ascii="Poppins" w:hAnsi="Poppins" w:cs="Poppins"/>
        </w:rPr>
        <w:t xml:space="preserve">ursprünglichen </w:t>
      </w:r>
      <w:proofErr w:type="spellStart"/>
      <w:r w:rsidRPr="00D1021A">
        <w:rPr>
          <w:rFonts w:ascii="Poppins" w:hAnsi="Poppins" w:cs="Poppins"/>
        </w:rPr>
        <w:t>Kriterien</w:t>
      </w:r>
      <w:r w:rsidR="008E73FC" w:rsidRPr="00D1021A">
        <w:rPr>
          <w:rFonts w:ascii="Poppins" w:hAnsi="Poppins" w:cs="Poppins"/>
        </w:rPr>
        <w:t>s</w:t>
      </w:r>
      <w:r w:rsidRPr="00D1021A">
        <w:rPr>
          <w:rFonts w:ascii="Poppins" w:hAnsi="Poppins" w:cs="Poppins"/>
        </w:rPr>
        <w:t>et</w:t>
      </w:r>
      <w:proofErr w:type="spellEnd"/>
      <w:r w:rsidRPr="00D1021A">
        <w:rPr>
          <w:rFonts w:ascii="Poppins" w:hAnsi="Poppins" w:cs="Poppins"/>
        </w:rPr>
        <w:t xml:space="preserve"> </w:t>
      </w:r>
      <w:r w:rsidR="00F22342" w:rsidRPr="00D1021A">
        <w:rPr>
          <w:rFonts w:ascii="Poppins" w:hAnsi="Poppins" w:cs="Poppins"/>
        </w:rPr>
        <w:t>w</w:t>
      </w:r>
      <w:r w:rsidR="008E73FC" w:rsidRPr="00D1021A">
        <w:rPr>
          <w:rFonts w:ascii="Poppins" w:hAnsi="Poppins" w:cs="Poppins"/>
        </w:rPr>
        <w:t>er</w:t>
      </w:r>
      <w:r w:rsidR="00F22342" w:rsidRPr="00D1021A">
        <w:rPr>
          <w:rFonts w:ascii="Poppins" w:hAnsi="Poppins" w:cs="Poppins"/>
        </w:rPr>
        <w:t>den</w:t>
      </w:r>
      <w:r w:rsidRPr="00D1021A">
        <w:rPr>
          <w:rFonts w:ascii="Poppins" w:hAnsi="Poppins" w:cs="Poppins"/>
        </w:rPr>
        <w:t xml:space="preserve"> dabei 15 Kriterien berücksichtigt, die prinzipiell für OER von Bedeutung sind. Allerdings bleibt es der jeweiligen Institution überlassen, auf welche Kriterien der Fokus gelegt w</w:t>
      </w:r>
      <w:r w:rsidR="008E73FC" w:rsidRPr="00D1021A">
        <w:rPr>
          <w:rFonts w:ascii="Poppins" w:hAnsi="Poppins" w:cs="Poppins"/>
        </w:rPr>
        <w:t>erden soll. So w</w:t>
      </w:r>
      <w:r w:rsidR="00B3774C" w:rsidRPr="00D1021A">
        <w:rPr>
          <w:rFonts w:ascii="Poppins" w:hAnsi="Poppins" w:cs="Poppins"/>
        </w:rPr>
        <w:t>erden</w:t>
      </w:r>
      <w:r w:rsidR="008E73FC" w:rsidRPr="00D1021A">
        <w:rPr>
          <w:rFonts w:ascii="Poppins" w:hAnsi="Poppins" w:cs="Poppins"/>
        </w:rPr>
        <w:t xml:space="preserve"> den </w:t>
      </w:r>
      <w:r w:rsidRPr="00D1021A">
        <w:rPr>
          <w:rFonts w:ascii="Poppins" w:hAnsi="Poppins" w:cs="Poppins"/>
        </w:rPr>
        <w:t>individuellen Strukturen und Bedingungen der unterschiedlichen Institutionen Rechnung getragen</w:t>
      </w:r>
      <w:r w:rsidR="00AA1243" w:rsidRPr="00D1021A">
        <w:rPr>
          <w:rFonts w:ascii="Poppins" w:hAnsi="Poppins" w:cs="Poppins"/>
        </w:rPr>
        <w:t xml:space="preserve">. </w:t>
      </w:r>
      <w:r w:rsidR="00F22342" w:rsidRPr="00D1021A">
        <w:rPr>
          <w:rFonts w:ascii="Poppins" w:hAnsi="Poppins" w:cs="Poppins"/>
        </w:rPr>
        <w:t>D</w:t>
      </w:r>
      <w:r w:rsidRPr="00D1021A">
        <w:rPr>
          <w:rFonts w:ascii="Poppins" w:hAnsi="Poppins" w:cs="Poppins"/>
        </w:rPr>
        <w:t xml:space="preserve">as Projekt EduArc (Teilvorhaben: „Qualität von OER und internationale Perspektiven“) führte </w:t>
      </w:r>
      <w:r w:rsidR="00F22342" w:rsidRPr="00D1021A">
        <w:rPr>
          <w:rFonts w:ascii="Poppins" w:hAnsi="Poppins" w:cs="Poppins"/>
        </w:rPr>
        <w:t xml:space="preserve">anschließend </w:t>
      </w:r>
      <w:r w:rsidRPr="00D1021A">
        <w:rPr>
          <w:rFonts w:ascii="Poppins" w:hAnsi="Poppins" w:cs="Poppins"/>
        </w:rPr>
        <w:t xml:space="preserve">unter Leitung von Wolfgang </w:t>
      </w:r>
      <w:proofErr w:type="spellStart"/>
      <w:r w:rsidRPr="00D1021A">
        <w:rPr>
          <w:rFonts w:ascii="Poppins" w:hAnsi="Poppins" w:cs="Poppins"/>
        </w:rPr>
        <w:t>Müskens</w:t>
      </w:r>
      <w:proofErr w:type="spellEnd"/>
      <w:r w:rsidRPr="00D1021A">
        <w:rPr>
          <w:rFonts w:ascii="Poppins" w:hAnsi="Poppins" w:cs="Poppins"/>
        </w:rPr>
        <w:t xml:space="preserve"> eine statistische Validierung des Kriterien-Sets durch. Bei dieser Validierung wurde das </w:t>
      </w:r>
      <w:proofErr w:type="spellStart"/>
      <w:r w:rsidRPr="00D1021A">
        <w:rPr>
          <w:rFonts w:ascii="Poppins" w:hAnsi="Poppins" w:cs="Poppins"/>
        </w:rPr>
        <w:t>Kriterienset</w:t>
      </w:r>
      <w:proofErr w:type="spellEnd"/>
      <w:r w:rsidRPr="00D1021A">
        <w:rPr>
          <w:rFonts w:ascii="Poppins" w:hAnsi="Poppins" w:cs="Poppins"/>
        </w:rPr>
        <w:t xml:space="preserve"> um das Kriterium der Motivation ergänzt (</w:t>
      </w:r>
      <w:bookmarkStart w:id="82" w:name="_Hlk173938036"/>
      <w:r w:rsidRPr="00D1021A">
        <w:rPr>
          <w:rFonts w:ascii="Poppins" w:hAnsi="Poppins" w:cs="Poppins"/>
        </w:rPr>
        <w:t xml:space="preserve">vgl. </w:t>
      </w:r>
      <w:r w:rsidR="005D1EB4" w:rsidRPr="00D1021A">
        <w:rPr>
          <w:rFonts w:ascii="Poppins" w:hAnsi="Poppins" w:cs="Poppins"/>
        </w:rPr>
        <w:t>Lübben</w:t>
      </w:r>
      <w:r w:rsidR="00234245" w:rsidRPr="00D1021A">
        <w:rPr>
          <w:rFonts w:ascii="Poppins" w:hAnsi="Poppins" w:cs="Poppins"/>
        </w:rPr>
        <w:t xml:space="preserve"> et al.</w:t>
      </w:r>
      <w:r w:rsidRPr="00D1021A">
        <w:rPr>
          <w:rFonts w:ascii="Poppins" w:hAnsi="Poppins" w:cs="Poppins"/>
        </w:rPr>
        <w:t xml:space="preserve"> 202</w:t>
      </w:r>
      <w:bookmarkEnd w:id="82"/>
      <w:r w:rsidR="000B7C05" w:rsidRPr="00D1021A">
        <w:rPr>
          <w:rFonts w:ascii="Poppins" w:hAnsi="Poppins" w:cs="Poppins"/>
        </w:rPr>
        <w:t>3</w:t>
      </w:r>
      <w:r w:rsidRPr="00D1021A">
        <w:rPr>
          <w:rFonts w:ascii="Poppins" w:hAnsi="Poppins" w:cs="Poppins"/>
        </w:rPr>
        <w:t>). Daher besteht das aktuelle OER-</w:t>
      </w:r>
      <w:proofErr w:type="spellStart"/>
      <w:r w:rsidRPr="00D1021A">
        <w:rPr>
          <w:rFonts w:ascii="Poppins" w:hAnsi="Poppins" w:cs="Poppins"/>
        </w:rPr>
        <w:t>Qualitätskriterienset</w:t>
      </w:r>
      <w:proofErr w:type="spellEnd"/>
      <w:r w:rsidRPr="00D1021A">
        <w:rPr>
          <w:rFonts w:ascii="Poppins" w:hAnsi="Poppins" w:cs="Poppins"/>
        </w:rPr>
        <w:t xml:space="preserve"> aus 16 Kriterien.</w:t>
      </w:r>
    </w:p>
    <w:p w14:paraId="3AA1BBFD" w14:textId="6162E196" w:rsidR="004D2759" w:rsidRPr="00D1021A" w:rsidRDefault="004D2759" w:rsidP="00AA1243">
      <w:pPr>
        <w:pStyle w:val="berschrift2"/>
        <w:rPr>
          <w:rFonts w:ascii="Poppins" w:hAnsi="Poppins" w:cs="Poppins"/>
        </w:rPr>
      </w:pPr>
      <w:bookmarkStart w:id="83" w:name="_Toc177037315"/>
      <w:r w:rsidRPr="00D1021A">
        <w:rPr>
          <w:rFonts w:ascii="Poppins" w:hAnsi="Poppins" w:cs="Poppins"/>
        </w:rPr>
        <w:t xml:space="preserve">Instrument zur Qualitätssicherung von OER – </w:t>
      </w:r>
      <w:proofErr w:type="spellStart"/>
      <w:r w:rsidRPr="00D1021A">
        <w:rPr>
          <w:rFonts w:ascii="Poppins" w:hAnsi="Poppins" w:cs="Poppins"/>
        </w:rPr>
        <w:t>IQOer</w:t>
      </w:r>
      <w:proofErr w:type="spellEnd"/>
      <w:r w:rsidRPr="00D1021A">
        <w:rPr>
          <w:rFonts w:ascii="Poppins" w:hAnsi="Poppins" w:cs="Poppins"/>
        </w:rPr>
        <w:t xml:space="preserve"> – Entwicklungsversion 17</w:t>
      </w:r>
      <w:bookmarkStart w:id="84" w:name="_Hlk170131898"/>
      <w:bookmarkEnd w:id="83"/>
    </w:p>
    <w:p w14:paraId="15B541C4" w14:textId="5B10F063" w:rsidR="006E26AA" w:rsidRPr="00D1021A" w:rsidRDefault="004D2759" w:rsidP="009B614E">
      <w:pPr>
        <w:pStyle w:val="Flietext"/>
        <w:jc w:val="left"/>
        <w:rPr>
          <w:rFonts w:ascii="Poppins" w:hAnsi="Poppins" w:cs="Poppins"/>
        </w:rPr>
      </w:pPr>
      <w:bookmarkStart w:id="85" w:name="_Hlk173939912"/>
      <w:r w:rsidRPr="00D1021A">
        <w:rPr>
          <w:rFonts w:ascii="Poppins" w:hAnsi="Poppins" w:cs="Poppins"/>
        </w:rPr>
        <w:t xml:space="preserve">Das </w:t>
      </w:r>
      <w:bookmarkStart w:id="86" w:name="_Hlk167449712"/>
      <w:r w:rsidRPr="00D1021A">
        <w:rPr>
          <w:rFonts w:ascii="Poppins" w:hAnsi="Poppins" w:cs="Poppins"/>
        </w:rPr>
        <w:t xml:space="preserve">„Instrument der Qualitätssicherung von OER – </w:t>
      </w:r>
      <w:proofErr w:type="spellStart"/>
      <w:r w:rsidRPr="00D1021A">
        <w:rPr>
          <w:rFonts w:ascii="Poppins" w:hAnsi="Poppins" w:cs="Poppins"/>
        </w:rPr>
        <w:t>IQOer</w:t>
      </w:r>
      <w:proofErr w:type="spellEnd"/>
      <w:r w:rsidRPr="00D1021A">
        <w:rPr>
          <w:rFonts w:ascii="Poppins" w:hAnsi="Poppins" w:cs="Poppins"/>
        </w:rPr>
        <w:t xml:space="preserve"> – Entwicklungsversion 17 (Stand: 11.06.2021)“ von </w:t>
      </w:r>
      <w:bookmarkStart w:id="87" w:name="_Hlk174520265"/>
      <w:r w:rsidRPr="00D1021A">
        <w:rPr>
          <w:rFonts w:ascii="Poppins" w:hAnsi="Poppins" w:cs="Poppins"/>
        </w:rPr>
        <w:t xml:space="preserve">Wolfgang </w:t>
      </w:r>
      <w:proofErr w:type="spellStart"/>
      <w:r w:rsidRPr="00D1021A">
        <w:rPr>
          <w:rFonts w:ascii="Poppins" w:hAnsi="Poppins" w:cs="Poppins"/>
        </w:rPr>
        <w:t>Müskens</w:t>
      </w:r>
      <w:proofErr w:type="spellEnd"/>
      <w:r w:rsidRPr="00D1021A">
        <w:rPr>
          <w:rFonts w:ascii="Poppins" w:hAnsi="Poppins" w:cs="Poppins"/>
        </w:rPr>
        <w:t>, Olaf-</w:t>
      </w:r>
      <w:proofErr w:type="spellStart"/>
      <w:r w:rsidRPr="00D1021A">
        <w:rPr>
          <w:rFonts w:ascii="Poppins" w:hAnsi="Poppins" w:cs="Poppins"/>
        </w:rPr>
        <w:t>Zawacki</w:t>
      </w:r>
      <w:proofErr w:type="spellEnd"/>
      <w:r w:rsidRPr="00D1021A">
        <w:rPr>
          <w:rFonts w:ascii="Poppins" w:hAnsi="Poppins" w:cs="Poppins"/>
        </w:rPr>
        <w:t xml:space="preserve">-Richter und Carina Dolch </w:t>
      </w:r>
      <w:bookmarkEnd w:id="84"/>
      <w:bookmarkEnd w:id="85"/>
      <w:r w:rsidRPr="00D1021A">
        <w:rPr>
          <w:rFonts w:ascii="Poppins" w:hAnsi="Poppins" w:cs="Poppins"/>
        </w:rPr>
        <w:t>(2021</w:t>
      </w:r>
      <w:bookmarkEnd w:id="86"/>
      <w:r w:rsidRPr="00D1021A">
        <w:rPr>
          <w:rFonts w:ascii="Poppins" w:hAnsi="Poppins" w:cs="Poppins"/>
        </w:rPr>
        <w:t xml:space="preserve">) </w:t>
      </w:r>
      <w:bookmarkEnd w:id="87"/>
      <w:r w:rsidR="00CF6ACB" w:rsidRPr="00D1021A">
        <w:rPr>
          <w:rFonts w:ascii="Poppins" w:hAnsi="Poppins" w:cs="Poppins"/>
        </w:rPr>
        <w:t>unterscheidet zwei</w:t>
      </w:r>
      <w:r w:rsidR="003576B7" w:rsidRPr="00D1021A">
        <w:rPr>
          <w:rFonts w:ascii="Poppins" w:hAnsi="Poppins" w:cs="Poppins"/>
        </w:rPr>
        <w:t xml:space="preserve"> Hauptd</w:t>
      </w:r>
      <w:r w:rsidR="00CF6ACB" w:rsidRPr="00D1021A">
        <w:rPr>
          <w:rFonts w:ascii="Poppins" w:hAnsi="Poppins" w:cs="Poppins"/>
        </w:rPr>
        <w:t xml:space="preserve">imensionen, die </w:t>
      </w:r>
      <w:r w:rsidR="002D573B" w:rsidRPr="00D1021A">
        <w:rPr>
          <w:rFonts w:ascii="Poppins" w:hAnsi="Poppins" w:cs="Poppins"/>
        </w:rPr>
        <w:t>p</w:t>
      </w:r>
      <w:r w:rsidR="00CF6ACB" w:rsidRPr="00D1021A">
        <w:rPr>
          <w:rFonts w:ascii="Poppins" w:hAnsi="Poppins" w:cs="Poppins"/>
        </w:rPr>
        <w:t xml:space="preserve">ädagogisch-didaktische Dimension und die </w:t>
      </w:r>
      <w:r w:rsidR="002D573B" w:rsidRPr="00D1021A">
        <w:rPr>
          <w:rFonts w:ascii="Poppins" w:hAnsi="Poppins" w:cs="Poppins"/>
        </w:rPr>
        <w:t>t</w:t>
      </w:r>
      <w:r w:rsidR="00CF6ACB" w:rsidRPr="00D1021A">
        <w:rPr>
          <w:rFonts w:ascii="Poppins" w:hAnsi="Poppins" w:cs="Poppins"/>
        </w:rPr>
        <w:t xml:space="preserve">echnische Dimension. </w:t>
      </w:r>
      <w:r w:rsidR="003576B7" w:rsidRPr="00D1021A">
        <w:rPr>
          <w:rFonts w:ascii="Poppins" w:hAnsi="Poppins" w:cs="Poppins"/>
        </w:rPr>
        <w:t xml:space="preserve">Diese </w:t>
      </w:r>
      <w:r w:rsidR="006E26AA" w:rsidRPr="00D1021A">
        <w:rPr>
          <w:rFonts w:ascii="Poppins" w:hAnsi="Poppins" w:cs="Poppins"/>
        </w:rPr>
        <w:t>u</w:t>
      </w:r>
      <w:r w:rsidR="003576B7" w:rsidRPr="00D1021A">
        <w:rPr>
          <w:rFonts w:ascii="Poppins" w:hAnsi="Poppins" w:cs="Poppins"/>
        </w:rPr>
        <w:t xml:space="preserve">nterteilen sich wiederum in </w:t>
      </w:r>
      <w:r w:rsidR="006E26AA" w:rsidRPr="00D1021A">
        <w:rPr>
          <w:rFonts w:ascii="Poppins" w:hAnsi="Poppins" w:cs="Poppins"/>
        </w:rPr>
        <w:t xml:space="preserve">jeweils zwei </w:t>
      </w:r>
      <w:r w:rsidR="003576B7" w:rsidRPr="00D1021A">
        <w:rPr>
          <w:rFonts w:ascii="Poppins" w:hAnsi="Poppins" w:cs="Poppins"/>
        </w:rPr>
        <w:t>Unterdimension</w:t>
      </w:r>
      <w:r w:rsidR="002D573B" w:rsidRPr="00D1021A">
        <w:rPr>
          <w:rFonts w:ascii="Poppins" w:hAnsi="Poppins" w:cs="Poppins"/>
        </w:rPr>
        <w:t>en</w:t>
      </w:r>
      <w:r w:rsidR="003576B7" w:rsidRPr="00D1021A">
        <w:rPr>
          <w:rFonts w:ascii="Poppins" w:hAnsi="Poppins" w:cs="Poppins"/>
        </w:rPr>
        <w:t>, in welche die 16 Qualitätskriterien eingeordnet sind.</w:t>
      </w:r>
    </w:p>
    <w:p w14:paraId="563AD278" w14:textId="41B648FC" w:rsidR="007D3FB5" w:rsidRPr="00D1021A" w:rsidRDefault="007D3FB5" w:rsidP="002004EB">
      <w:pPr>
        <w:pStyle w:val="Flietext"/>
        <w:numPr>
          <w:ilvl w:val="0"/>
          <w:numId w:val="6"/>
        </w:numPr>
        <w:contextualSpacing/>
        <w:jc w:val="left"/>
        <w:rPr>
          <w:rFonts w:ascii="Poppins" w:hAnsi="Poppins" w:cs="Poppins"/>
        </w:rPr>
      </w:pPr>
      <w:r w:rsidRPr="00D1021A">
        <w:rPr>
          <w:rFonts w:ascii="Poppins" w:hAnsi="Poppins" w:cs="Poppins"/>
        </w:rPr>
        <w:lastRenderedPageBreak/>
        <w:t>Pädagogisch-didaktische Dimension</w:t>
      </w:r>
    </w:p>
    <w:p w14:paraId="0BB0D95F" w14:textId="4835E9E5" w:rsidR="007D3FB5" w:rsidRPr="00D1021A" w:rsidRDefault="007D3FB5" w:rsidP="002004EB">
      <w:pPr>
        <w:pStyle w:val="Flietext"/>
        <w:numPr>
          <w:ilvl w:val="1"/>
          <w:numId w:val="6"/>
        </w:numPr>
        <w:contextualSpacing/>
        <w:jc w:val="left"/>
        <w:rPr>
          <w:rFonts w:ascii="Poppins" w:hAnsi="Poppins" w:cs="Poppins"/>
        </w:rPr>
      </w:pPr>
      <w:r w:rsidRPr="00D1021A">
        <w:rPr>
          <w:rFonts w:ascii="Poppins" w:hAnsi="Poppins" w:cs="Poppins"/>
        </w:rPr>
        <w:t>Inhalt</w:t>
      </w:r>
    </w:p>
    <w:p w14:paraId="080ADE80" w14:textId="2506CBFD" w:rsidR="007D3FB5" w:rsidRPr="00D1021A" w:rsidRDefault="007D3FB5" w:rsidP="002004EB">
      <w:pPr>
        <w:pStyle w:val="Flietext"/>
        <w:numPr>
          <w:ilvl w:val="2"/>
          <w:numId w:val="6"/>
        </w:numPr>
        <w:contextualSpacing/>
        <w:jc w:val="left"/>
        <w:rPr>
          <w:rFonts w:ascii="Poppins" w:hAnsi="Poppins" w:cs="Poppins"/>
        </w:rPr>
      </w:pPr>
      <w:r w:rsidRPr="00D1021A">
        <w:rPr>
          <w:rFonts w:ascii="Poppins" w:hAnsi="Poppins" w:cs="Poppins"/>
        </w:rPr>
        <w:t>Fachwissenschaftliche Fundierung</w:t>
      </w:r>
    </w:p>
    <w:p w14:paraId="7E770E53" w14:textId="30C5940C" w:rsidR="007D3FB5" w:rsidRPr="00D1021A" w:rsidRDefault="007D3FB5" w:rsidP="002004EB">
      <w:pPr>
        <w:pStyle w:val="Flietext"/>
        <w:numPr>
          <w:ilvl w:val="2"/>
          <w:numId w:val="6"/>
        </w:numPr>
        <w:contextualSpacing/>
        <w:jc w:val="left"/>
        <w:rPr>
          <w:rFonts w:ascii="Poppins" w:hAnsi="Poppins" w:cs="Poppins"/>
        </w:rPr>
      </w:pPr>
      <w:r w:rsidRPr="00D1021A">
        <w:rPr>
          <w:rFonts w:ascii="Poppins" w:hAnsi="Poppins" w:cs="Poppins"/>
        </w:rPr>
        <w:t>Zielgruppenorientierung</w:t>
      </w:r>
    </w:p>
    <w:p w14:paraId="5C966ABD" w14:textId="2DCE101B" w:rsidR="007D3FB5" w:rsidRPr="00D1021A" w:rsidRDefault="007D3FB5" w:rsidP="002004EB">
      <w:pPr>
        <w:pStyle w:val="Flietext"/>
        <w:numPr>
          <w:ilvl w:val="2"/>
          <w:numId w:val="6"/>
        </w:numPr>
        <w:contextualSpacing/>
        <w:jc w:val="left"/>
        <w:rPr>
          <w:rFonts w:ascii="Poppins" w:hAnsi="Poppins" w:cs="Poppins"/>
        </w:rPr>
      </w:pPr>
      <w:r w:rsidRPr="00D1021A">
        <w:rPr>
          <w:rFonts w:ascii="Poppins" w:hAnsi="Poppins" w:cs="Poppins"/>
        </w:rPr>
        <w:t>Inhaltliche Wiederverwendbarkeit</w:t>
      </w:r>
    </w:p>
    <w:p w14:paraId="74C138C8" w14:textId="7E5F51FD" w:rsidR="007D3FB5" w:rsidRPr="00D1021A" w:rsidRDefault="007D3FB5" w:rsidP="002004EB">
      <w:pPr>
        <w:pStyle w:val="Flietext"/>
        <w:numPr>
          <w:ilvl w:val="1"/>
          <w:numId w:val="6"/>
        </w:numPr>
        <w:contextualSpacing/>
        <w:jc w:val="left"/>
        <w:rPr>
          <w:rFonts w:ascii="Poppins" w:hAnsi="Poppins" w:cs="Poppins"/>
        </w:rPr>
      </w:pPr>
      <w:r w:rsidRPr="00D1021A">
        <w:rPr>
          <w:rFonts w:ascii="Poppins" w:hAnsi="Poppins" w:cs="Poppins"/>
        </w:rPr>
        <w:t>Didaktisches Design</w:t>
      </w:r>
    </w:p>
    <w:p w14:paraId="13470AA3" w14:textId="09DDBD32" w:rsidR="007D3FB5" w:rsidRPr="00D1021A" w:rsidRDefault="008E73FC" w:rsidP="002004EB">
      <w:pPr>
        <w:pStyle w:val="Flietext"/>
        <w:numPr>
          <w:ilvl w:val="2"/>
          <w:numId w:val="6"/>
        </w:numPr>
        <w:contextualSpacing/>
        <w:jc w:val="left"/>
        <w:rPr>
          <w:rFonts w:ascii="Poppins" w:hAnsi="Poppins" w:cs="Poppins"/>
        </w:rPr>
      </w:pPr>
      <w:r w:rsidRPr="00D1021A">
        <w:rPr>
          <w:rFonts w:ascii="Poppins" w:hAnsi="Poppins" w:cs="Poppins"/>
        </w:rPr>
        <w:t>Alignment</w:t>
      </w:r>
    </w:p>
    <w:p w14:paraId="68E1E60C" w14:textId="6B64F63E" w:rsidR="008E73FC" w:rsidRPr="00D1021A" w:rsidRDefault="008E73FC" w:rsidP="002004EB">
      <w:pPr>
        <w:pStyle w:val="Flietext"/>
        <w:numPr>
          <w:ilvl w:val="2"/>
          <w:numId w:val="6"/>
        </w:numPr>
        <w:contextualSpacing/>
        <w:jc w:val="left"/>
        <w:rPr>
          <w:rFonts w:ascii="Poppins" w:hAnsi="Poppins" w:cs="Poppins"/>
        </w:rPr>
      </w:pPr>
      <w:r w:rsidRPr="00D1021A">
        <w:rPr>
          <w:rFonts w:ascii="Poppins" w:hAnsi="Poppins" w:cs="Poppins"/>
        </w:rPr>
        <w:t>Kollaboration und Interaktion</w:t>
      </w:r>
    </w:p>
    <w:p w14:paraId="246358E0" w14:textId="3887F314" w:rsidR="008E73FC" w:rsidRPr="00D1021A" w:rsidRDefault="008E73FC" w:rsidP="002004EB">
      <w:pPr>
        <w:pStyle w:val="Flietext"/>
        <w:numPr>
          <w:ilvl w:val="2"/>
          <w:numId w:val="6"/>
        </w:numPr>
        <w:contextualSpacing/>
        <w:jc w:val="left"/>
        <w:rPr>
          <w:rFonts w:ascii="Poppins" w:hAnsi="Poppins" w:cs="Poppins"/>
        </w:rPr>
      </w:pPr>
      <w:r w:rsidRPr="00D1021A">
        <w:rPr>
          <w:rFonts w:ascii="Poppins" w:hAnsi="Poppins" w:cs="Poppins"/>
        </w:rPr>
        <w:t>Anwendung und Transfer</w:t>
      </w:r>
    </w:p>
    <w:p w14:paraId="54594994" w14:textId="4093A564" w:rsidR="008E73FC" w:rsidRPr="00D1021A" w:rsidRDefault="008E73FC" w:rsidP="002004EB">
      <w:pPr>
        <w:pStyle w:val="Flietext"/>
        <w:numPr>
          <w:ilvl w:val="2"/>
          <w:numId w:val="6"/>
        </w:numPr>
        <w:contextualSpacing/>
        <w:jc w:val="left"/>
        <w:rPr>
          <w:rFonts w:ascii="Poppins" w:hAnsi="Poppins" w:cs="Poppins"/>
        </w:rPr>
      </w:pPr>
      <w:r w:rsidRPr="00D1021A">
        <w:rPr>
          <w:rFonts w:ascii="Poppins" w:hAnsi="Poppins" w:cs="Poppins"/>
        </w:rPr>
        <w:t>Hilfestellung und Support</w:t>
      </w:r>
    </w:p>
    <w:p w14:paraId="6597AF74" w14:textId="326A9D40" w:rsidR="008E73FC" w:rsidRPr="00D1021A" w:rsidRDefault="008E73FC" w:rsidP="002004EB">
      <w:pPr>
        <w:pStyle w:val="Flietext"/>
        <w:numPr>
          <w:ilvl w:val="2"/>
          <w:numId w:val="6"/>
        </w:numPr>
        <w:contextualSpacing/>
        <w:jc w:val="left"/>
        <w:rPr>
          <w:rFonts w:ascii="Poppins" w:hAnsi="Poppins" w:cs="Poppins"/>
        </w:rPr>
      </w:pPr>
      <w:r w:rsidRPr="00D1021A">
        <w:rPr>
          <w:rFonts w:ascii="Poppins" w:hAnsi="Poppins" w:cs="Poppins"/>
        </w:rPr>
        <w:t>Assessment</w:t>
      </w:r>
    </w:p>
    <w:p w14:paraId="35FD51A2" w14:textId="2E5822CA" w:rsidR="008E73FC" w:rsidRPr="00D1021A" w:rsidRDefault="008E73FC" w:rsidP="002004EB">
      <w:pPr>
        <w:pStyle w:val="Flietext"/>
        <w:numPr>
          <w:ilvl w:val="2"/>
          <w:numId w:val="6"/>
        </w:numPr>
        <w:contextualSpacing/>
        <w:jc w:val="left"/>
        <w:rPr>
          <w:rFonts w:ascii="Poppins" w:hAnsi="Poppins" w:cs="Poppins"/>
        </w:rPr>
      </w:pPr>
      <w:r w:rsidRPr="00D1021A">
        <w:rPr>
          <w:rFonts w:ascii="Poppins" w:hAnsi="Poppins" w:cs="Poppins"/>
        </w:rPr>
        <w:t>Motivation</w:t>
      </w:r>
    </w:p>
    <w:p w14:paraId="30D4A655" w14:textId="77777777" w:rsidR="008E73FC" w:rsidRPr="00D1021A" w:rsidRDefault="008E73FC" w:rsidP="008E73FC">
      <w:pPr>
        <w:pStyle w:val="Flietext"/>
        <w:contextualSpacing/>
        <w:jc w:val="left"/>
        <w:rPr>
          <w:rFonts w:ascii="Poppins" w:hAnsi="Poppins" w:cs="Poppins"/>
        </w:rPr>
      </w:pPr>
    </w:p>
    <w:p w14:paraId="6BBB60DD" w14:textId="577DD70D" w:rsidR="008E73FC" w:rsidRPr="00D1021A" w:rsidRDefault="008E73FC" w:rsidP="002004EB">
      <w:pPr>
        <w:pStyle w:val="Flietext"/>
        <w:numPr>
          <w:ilvl w:val="0"/>
          <w:numId w:val="6"/>
        </w:numPr>
        <w:contextualSpacing/>
        <w:jc w:val="left"/>
        <w:rPr>
          <w:rFonts w:ascii="Poppins" w:hAnsi="Poppins" w:cs="Poppins"/>
        </w:rPr>
      </w:pPr>
      <w:r w:rsidRPr="00D1021A">
        <w:rPr>
          <w:rFonts w:ascii="Poppins" w:hAnsi="Poppins" w:cs="Poppins"/>
        </w:rPr>
        <w:t>Technische Dimension</w:t>
      </w:r>
    </w:p>
    <w:p w14:paraId="18269813" w14:textId="5C5722E7" w:rsidR="008E73FC" w:rsidRPr="00D1021A" w:rsidRDefault="008E73FC" w:rsidP="002004EB">
      <w:pPr>
        <w:pStyle w:val="Flietext"/>
        <w:numPr>
          <w:ilvl w:val="1"/>
          <w:numId w:val="6"/>
        </w:numPr>
        <w:contextualSpacing/>
        <w:jc w:val="left"/>
        <w:rPr>
          <w:rFonts w:ascii="Poppins" w:hAnsi="Poppins" w:cs="Poppins"/>
        </w:rPr>
      </w:pPr>
      <w:r w:rsidRPr="00D1021A">
        <w:rPr>
          <w:rFonts w:ascii="Poppins" w:hAnsi="Poppins" w:cs="Poppins"/>
        </w:rPr>
        <w:t>Zugänglichkeit</w:t>
      </w:r>
    </w:p>
    <w:p w14:paraId="06ED1E55" w14:textId="2066493A" w:rsidR="008E73FC" w:rsidRPr="00D1021A" w:rsidRDefault="008E73FC" w:rsidP="002004EB">
      <w:pPr>
        <w:pStyle w:val="Flietext"/>
        <w:numPr>
          <w:ilvl w:val="2"/>
          <w:numId w:val="6"/>
        </w:numPr>
        <w:contextualSpacing/>
        <w:jc w:val="left"/>
        <w:rPr>
          <w:rFonts w:ascii="Poppins" w:hAnsi="Poppins" w:cs="Poppins"/>
        </w:rPr>
      </w:pPr>
      <w:r w:rsidRPr="00D1021A">
        <w:rPr>
          <w:rFonts w:ascii="Poppins" w:hAnsi="Poppins" w:cs="Poppins"/>
        </w:rPr>
        <w:t>CC-Lizenz</w:t>
      </w:r>
    </w:p>
    <w:p w14:paraId="3F3A83AB" w14:textId="1B3D0142" w:rsidR="008E73FC" w:rsidRPr="00D1021A" w:rsidRDefault="008E73FC" w:rsidP="002004EB">
      <w:pPr>
        <w:pStyle w:val="Flietext"/>
        <w:numPr>
          <w:ilvl w:val="2"/>
          <w:numId w:val="6"/>
        </w:numPr>
        <w:contextualSpacing/>
        <w:jc w:val="left"/>
        <w:rPr>
          <w:rFonts w:ascii="Poppins" w:hAnsi="Poppins" w:cs="Poppins"/>
        </w:rPr>
      </w:pPr>
      <w:r w:rsidRPr="00D1021A">
        <w:rPr>
          <w:rFonts w:ascii="Poppins" w:hAnsi="Poppins" w:cs="Poppins"/>
        </w:rPr>
        <w:t>Zugänglichkeit für Menschen mit Beeinträchtigungen</w:t>
      </w:r>
    </w:p>
    <w:p w14:paraId="7BB2B187" w14:textId="1D7F7D59" w:rsidR="008E73FC" w:rsidRPr="00D1021A" w:rsidRDefault="008E73FC" w:rsidP="002004EB">
      <w:pPr>
        <w:pStyle w:val="Flietext"/>
        <w:numPr>
          <w:ilvl w:val="2"/>
          <w:numId w:val="6"/>
        </w:numPr>
        <w:contextualSpacing/>
        <w:jc w:val="left"/>
        <w:rPr>
          <w:rFonts w:ascii="Poppins" w:hAnsi="Poppins" w:cs="Poppins"/>
        </w:rPr>
      </w:pPr>
      <w:r w:rsidRPr="00D1021A">
        <w:rPr>
          <w:rFonts w:ascii="Poppins" w:hAnsi="Poppins" w:cs="Poppins"/>
        </w:rPr>
        <w:t>Zuverlässigkeit und Kompatibilität</w:t>
      </w:r>
    </w:p>
    <w:p w14:paraId="61164A4B" w14:textId="5F6A1F07" w:rsidR="008E73FC" w:rsidRPr="00D1021A" w:rsidRDefault="008E73FC" w:rsidP="002004EB">
      <w:pPr>
        <w:pStyle w:val="Flietext"/>
        <w:numPr>
          <w:ilvl w:val="2"/>
          <w:numId w:val="6"/>
        </w:numPr>
        <w:contextualSpacing/>
        <w:jc w:val="left"/>
        <w:rPr>
          <w:rFonts w:ascii="Poppins" w:hAnsi="Poppins" w:cs="Poppins"/>
        </w:rPr>
      </w:pPr>
      <w:r w:rsidRPr="00D1021A">
        <w:rPr>
          <w:rFonts w:ascii="Poppins" w:hAnsi="Poppins" w:cs="Poppins"/>
        </w:rPr>
        <w:t>Technische Wiederverwendbarkeit</w:t>
      </w:r>
    </w:p>
    <w:p w14:paraId="66BD4107" w14:textId="2FAD6BCD" w:rsidR="008E73FC" w:rsidRPr="00D1021A" w:rsidRDefault="008E73FC" w:rsidP="002004EB">
      <w:pPr>
        <w:pStyle w:val="Flietext"/>
        <w:numPr>
          <w:ilvl w:val="1"/>
          <w:numId w:val="6"/>
        </w:numPr>
        <w:contextualSpacing/>
        <w:jc w:val="left"/>
        <w:rPr>
          <w:rFonts w:ascii="Poppins" w:hAnsi="Poppins" w:cs="Poppins"/>
        </w:rPr>
      </w:pPr>
      <w:r w:rsidRPr="00D1021A">
        <w:rPr>
          <w:rFonts w:ascii="Poppins" w:hAnsi="Poppins" w:cs="Poppins"/>
        </w:rPr>
        <w:t>Usability</w:t>
      </w:r>
    </w:p>
    <w:p w14:paraId="056D4B2F" w14:textId="5E63A9FF" w:rsidR="008E73FC" w:rsidRPr="00D1021A" w:rsidRDefault="008E73FC" w:rsidP="002004EB">
      <w:pPr>
        <w:pStyle w:val="Flietext"/>
        <w:numPr>
          <w:ilvl w:val="2"/>
          <w:numId w:val="6"/>
        </w:numPr>
        <w:contextualSpacing/>
        <w:jc w:val="left"/>
        <w:rPr>
          <w:rFonts w:ascii="Poppins" w:hAnsi="Poppins" w:cs="Poppins"/>
        </w:rPr>
      </w:pPr>
      <w:r w:rsidRPr="00D1021A">
        <w:rPr>
          <w:rFonts w:ascii="Poppins" w:hAnsi="Poppins" w:cs="Poppins"/>
        </w:rPr>
        <w:t>Struktur, Navigation und Orientierung</w:t>
      </w:r>
    </w:p>
    <w:p w14:paraId="5B46B601" w14:textId="1C4F01D9" w:rsidR="008E73FC" w:rsidRPr="00D1021A" w:rsidRDefault="008E73FC" w:rsidP="002004EB">
      <w:pPr>
        <w:pStyle w:val="Flietext"/>
        <w:numPr>
          <w:ilvl w:val="2"/>
          <w:numId w:val="6"/>
        </w:numPr>
        <w:contextualSpacing/>
        <w:jc w:val="left"/>
        <w:rPr>
          <w:rFonts w:ascii="Poppins" w:hAnsi="Poppins" w:cs="Poppins"/>
        </w:rPr>
      </w:pPr>
      <w:r w:rsidRPr="00D1021A">
        <w:rPr>
          <w:rFonts w:ascii="Poppins" w:hAnsi="Poppins" w:cs="Poppins"/>
        </w:rPr>
        <w:t>Design und Lesbarkeit</w:t>
      </w:r>
    </w:p>
    <w:p w14:paraId="01551E70" w14:textId="16D0FC06" w:rsidR="008E73FC" w:rsidRPr="00D1021A" w:rsidRDefault="008E73FC" w:rsidP="002004EB">
      <w:pPr>
        <w:pStyle w:val="Flietext"/>
        <w:numPr>
          <w:ilvl w:val="2"/>
          <w:numId w:val="6"/>
        </w:numPr>
        <w:contextualSpacing/>
        <w:jc w:val="left"/>
        <w:rPr>
          <w:rFonts w:ascii="Poppins" w:hAnsi="Poppins" w:cs="Poppins"/>
        </w:rPr>
      </w:pPr>
      <w:r w:rsidRPr="00D1021A">
        <w:rPr>
          <w:rFonts w:ascii="Poppins" w:hAnsi="Poppins" w:cs="Poppins"/>
        </w:rPr>
        <w:t>Interaktivität</w:t>
      </w:r>
    </w:p>
    <w:p w14:paraId="01CB4B08" w14:textId="77777777" w:rsidR="00B944A2" w:rsidRPr="00D1021A" w:rsidRDefault="00B944A2" w:rsidP="00E55947">
      <w:pPr>
        <w:pStyle w:val="Flietext"/>
        <w:spacing w:before="0" w:after="0" w:line="240" w:lineRule="auto"/>
        <w:jc w:val="left"/>
        <w:rPr>
          <w:rFonts w:ascii="Poppins" w:hAnsi="Poppins" w:cs="Poppins"/>
        </w:rPr>
      </w:pPr>
    </w:p>
    <w:p w14:paraId="79EEEE11" w14:textId="2F42DB26" w:rsidR="006E26AA" w:rsidRPr="00D1021A" w:rsidRDefault="00CA1FA7" w:rsidP="003576B7">
      <w:pPr>
        <w:pStyle w:val="Flietext"/>
        <w:jc w:val="left"/>
        <w:rPr>
          <w:rFonts w:ascii="Poppins" w:eastAsia="Aptos" w:hAnsi="Poppins" w:cs="Poppins"/>
          <w:szCs w:val="24"/>
        </w:rPr>
      </w:pPr>
      <w:r w:rsidRPr="00D1021A">
        <w:rPr>
          <w:rFonts w:ascii="Poppins" w:eastAsia="Aptos" w:hAnsi="Poppins" w:cs="Poppins"/>
          <w:color w:val="000000" w:themeColor="text1"/>
          <w:szCs w:val="24"/>
        </w:rPr>
        <w:t>In dem Testinstrument werden die 16 Qualitätskriterien weiter konkretisiert. Je</w:t>
      </w:r>
      <w:r w:rsidR="003576B7" w:rsidRPr="00D1021A">
        <w:rPr>
          <w:rFonts w:ascii="Poppins" w:eastAsia="Aptos" w:hAnsi="Poppins" w:cs="Poppins"/>
          <w:szCs w:val="24"/>
        </w:rPr>
        <w:t xml:space="preserve">des Kriterium kann hier anhand einer fünfstufigen Skala überprüft </w:t>
      </w:r>
      <w:r w:rsidR="007B35CB" w:rsidRPr="00D1021A">
        <w:rPr>
          <w:rFonts w:ascii="Poppins" w:eastAsia="Aptos" w:hAnsi="Poppins" w:cs="Poppins"/>
          <w:szCs w:val="24"/>
        </w:rPr>
        <w:lastRenderedPageBreak/>
        <w:t>werden, wobei Stufe 3 den Mindeststandard darstellt. Der Aufbau der Skalen soll im Folgenden genauer betrachtet werden.</w:t>
      </w:r>
    </w:p>
    <w:tbl>
      <w:tblPr>
        <w:tblStyle w:val="Tabellenraster"/>
        <w:tblW w:w="0" w:type="auto"/>
        <w:tblLook w:val="04A0" w:firstRow="1" w:lastRow="0" w:firstColumn="1" w:lastColumn="0" w:noHBand="0" w:noVBand="1"/>
      </w:tblPr>
      <w:tblGrid>
        <w:gridCol w:w="562"/>
        <w:gridCol w:w="8328"/>
      </w:tblGrid>
      <w:tr w:rsidR="00EE69D2" w:rsidRPr="00D1021A" w14:paraId="2E54FE71" w14:textId="77777777" w:rsidTr="00FA2F02">
        <w:tc>
          <w:tcPr>
            <w:tcW w:w="562" w:type="dxa"/>
            <w:shd w:val="clear" w:color="auto" w:fill="00B050"/>
          </w:tcPr>
          <w:p w14:paraId="1BE85916" w14:textId="77777777" w:rsidR="00EE69D2" w:rsidRPr="00D1021A" w:rsidRDefault="00EE69D2" w:rsidP="00FA2F02">
            <w:pPr>
              <w:spacing w:line="360" w:lineRule="auto"/>
              <w:rPr>
                <w:rFonts w:ascii="Poppins" w:hAnsi="Poppins" w:cs="Poppins"/>
                <w:sz w:val="24"/>
                <w:szCs w:val="24"/>
              </w:rPr>
            </w:pPr>
            <w:r w:rsidRPr="00D1021A">
              <w:rPr>
                <w:rFonts w:ascii="Poppins" w:hAnsi="Poppins" w:cs="Poppins"/>
                <w:sz w:val="24"/>
                <w:szCs w:val="24"/>
              </w:rPr>
              <w:t>5</w:t>
            </w:r>
          </w:p>
        </w:tc>
        <w:tc>
          <w:tcPr>
            <w:tcW w:w="8328" w:type="dxa"/>
          </w:tcPr>
          <w:p w14:paraId="3BAE71EA" w14:textId="471E028E" w:rsidR="00EE69D2" w:rsidRPr="00D1021A" w:rsidRDefault="00EE69D2" w:rsidP="00EE69D2">
            <w:pPr>
              <w:spacing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Die oberste Ausprägung 5 entspricht dem Premiumstandard (dunkelgrüne Farbgebung), dabei liegt das Material deutlich über den Erwartungen.</w:t>
            </w:r>
          </w:p>
        </w:tc>
      </w:tr>
      <w:tr w:rsidR="00EE69D2" w:rsidRPr="00D1021A" w14:paraId="358E2CAF" w14:textId="77777777" w:rsidTr="00FA2F02">
        <w:tc>
          <w:tcPr>
            <w:tcW w:w="562" w:type="dxa"/>
            <w:shd w:val="clear" w:color="auto" w:fill="8DD873" w:themeFill="accent6" w:themeFillTint="99"/>
          </w:tcPr>
          <w:p w14:paraId="0DB20620" w14:textId="77777777" w:rsidR="00EE69D2" w:rsidRPr="00D1021A" w:rsidRDefault="00EE69D2" w:rsidP="00FA2F02">
            <w:pPr>
              <w:spacing w:line="360" w:lineRule="auto"/>
              <w:rPr>
                <w:rFonts w:ascii="Poppins" w:hAnsi="Poppins" w:cs="Poppins"/>
                <w:sz w:val="24"/>
                <w:szCs w:val="24"/>
              </w:rPr>
            </w:pPr>
            <w:r w:rsidRPr="00D1021A">
              <w:rPr>
                <w:rFonts w:ascii="Poppins" w:hAnsi="Poppins" w:cs="Poppins"/>
                <w:sz w:val="24"/>
                <w:szCs w:val="24"/>
              </w:rPr>
              <w:t>4</w:t>
            </w:r>
          </w:p>
        </w:tc>
        <w:tc>
          <w:tcPr>
            <w:tcW w:w="8328" w:type="dxa"/>
          </w:tcPr>
          <w:p w14:paraId="01A1C1A3" w14:textId="6554CE89" w:rsidR="00EE69D2" w:rsidRPr="00D1021A" w:rsidRDefault="00EE69D2" w:rsidP="00EE69D2">
            <w:pPr>
              <w:spacing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Die Ausprägung 4, ohne Beschreibung, bildet eine Zwischenstufe ab. Diese Alternative soll gewählt werden, wenn das Material die eine Beschreibung übertrifft, aber die andere Beschreibung noch nicht erfüllt. Der Mindeststandard ist dabei gut erfüllt (grüne Farbgebung).</w:t>
            </w:r>
          </w:p>
        </w:tc>
      </w:tr>
      <w:tr w:rsidR="00EE69D2" w:rsidRPr="00D1021A" w14:paraId="3C16663E" w14:textId="77777777" w:rsidTr="00FA2F02">
        <w:tc>
          <w:tcPr>
            <w:tcW w:w="562" w:type="dxa"/>
            <w:shd w:val="clear" w:color="auto" w:fill="D9F2D0" w:themeFill="accent6" w:themeFillTint="33"/>
          </w:tcPr>
          <w:p w14:paraId="2A54FE55" w14:textId="77777777" w:rsidR="00EE69D2" w:rsidRPr="00D1021A" w:rsidRDefault="00EE69D2" w:rsidP="00FA2F02">
            <w:pPr>
              <w:spacing w:line="360" w:lineRule="auto"/>
              <w:rPr>
                <w:rFonts w:ascii="Poppins" w:hAnsi="Poppins" w:cs="Poppins"/>
                <w:sz w:val="24"/>
                <w:szCs w:val="24"/>
              </w:rPr>
            </w:pPr>
            <w:r w:rsidRPr="00D1021A">
              <w:rPr>
                <w:rFonts w:ascii="Poppins" w:hAnsi="Poppins" w:cs="Poppins"/>
                <w:sz w:val="24"/>
                <w:szCs w:val="24"/>
              </w:rPr>
              <w:t>3</w:t>
            </w:r>
          </w:p>
        </w:tc>
        <w:tc>
          <w:tcPr>
            <w:tcW w:w="8328" w:type="dxa"/>
          </w:tcPr>
          <w:p w14:paraId="19ADD022" w14:textId="6ACC263E" w:rsidR="00EE69D2" w:rsidRPr="00D1021A" w:rsidRDefault="00EE69D2" w:rsidP="00EE69D2">
            <w:pPr>
              <w:spacing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Die Abstufung 3 (Mindeststandard) bildet eine mittlere Ausprägung ab. Diese Alternative soll gewählt werden, wenn das Material die eine Beschreibung übertrifft aber die andere Beschreibung noch nicht erfüllt (hellgrüne Farbgebung).</w:t>
            </w:r>
          </w:p>
        </w:tc>
      </w:tr>
      <w:tr w:rsidR="00EE69D2" w:rsidRPr="00D1021A" w14:paraId="648632EC" w14:textId="77777777" w:rsidTr="00FA2F02">
        <w:tc>
          <w:tcPr>
            <w:tcW w:w="562" w:type="dxa"/>
            <w:shd w:val="clear" w:color="auto" w:fill="FFFF00"/>
          </w:tcPr>
          <w:p w14:paraId="425D33B6" w14:textId="77777777" w:rsidR="00EE69D2" w:rsidRPr="00D1021A" w:rsidRDefault="00EE69D2" w:rsidP="00FA2F02">
            <w:pPr>
              <w:spacing w:line="360" w:lineRule="auto"/>
              <w:rPr>
                <w:rFonts w:ascii="Poppins" w:hAnsi="Poppins" w:cs="Poppins"/>
                <w:sz w:val="24"/>
                <w:szCs w:val="24"/>
              </w:rPr>
            </w:pPr>
            <w:r w:rsidRPr="00D1021A">
              <w:rPr>
                <w:rFonts w:ascii="Poppins" w:hAnsi="Poppins" w:cs="Poppins"/>
                <w:sz w:val="24"/>
                <w:szCs w:val="24"/>
              </w:rPr>
              <w:t>2</w:t>
            </w:r>
          </w:p>
        </w:tc>
        <w:tc>
          <w:tcPr>
            <w:tcW w:w="8328" w:type="dxa"/>
          </w:tcPr>
          <w:p w14:paraId="0C95A922" w14:textId="5F050B95" w:rsidR="00EE69D2" w:rsidRPr="00D1021A" w:rsidRDefault="00EE69D2" w:rsidP="00EE69D2">
            <w:pPr>
              <w:spacing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Die Ausprägung 2 bildet eine Zwischenstufe ab. Diese Alternative soll gewählt werden, wenn das Material die eine Beschreibung übertrifft, aber die andere Beschreibung noch nicht erfüllt (gelbe Farbgebung), der Mindeststandard wird dabei leicht verfehlt.</w:t>
            </w:r>
          </w:p>
        </w:tc>
      </w:tr>
      <w:tr w:rsidR="00EE69D2" w:rsidRPr="00D1021A" w14:paraId="2E06956B" w14:textId="77777777" w:rsidTr="00FA2F02">
        <w:tc>
          <w:tcPr>
            <w:tcW w:w="562" w:type="dxa"/>
            <w:shd w:val="clear" w:color="auto" w:fill="FF0000"/>
          </w:tcPr>
          <w:p w14:paraId="0B5C8312" w14:textId="77777777" w:rsidR="00EE69D2" w:rsidRPr="00D1021A" w:rsidRDefault="00EE69D2" w:rsidP="00FA2F02">
            <w:pPr>
              <w:spacing w:line="360" w:lineRule="auto"/>
              <w:rPr>
                <w:rFonts w:ascii="Poppins" w:hAnsi="Poppins" w:cs="Poppins"/>
                <w:sz w:val="24"/>
                <w:szCs w:val="24"/>
              </w:rPr>
            </w:pPr>
            <w:r w:rsidRPr="00D1021A">
              <w:rPr>
                <w:rFonts w:ascii="Poppins" w:hAnsi="Poppins" w:cs="Poppins"/>
                <w:sz w:val="24"/>
                <w:szCs w:val="24"/>
              </w:rPr>
              <w:t>1</w:t>
            </w:r>
          </w:p>
        </w:tc>
        <w:tc>
          <w:tcPr>
            <w:tcW w:w="8328" w:type="dxa"/>
          </w:tcPr>
          <w:p w14:paraId="771CFC43" w14:textId="3200AD4C" w:rsidR="00EE69D2" w:rsidRPr="00D1021A" w:rsidRDefault="00EE69D2" w:rsidP="00EE69D2">
            <w:pPr>
              <w:spacing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Die Ausprägung 1 entspricht der niedrigsten Ausprägung (rote Farbgebung), dabei weist das Material erhebliche Defizite auf, der Mindeststandard wird deutlich verfehlt.</w:t>
            </w:r>
          </w:p>
        </w:tc>
      </w:tr>
    </w:tbl>
    <w:p w14:paraId="6EE904B6" w14:textId="12FDBAB3" w:rsidR="006E26AA" w:rsidRPr="00D1021A" w:rsidRDefault="007B35CB" w:rsidP="002D573B">
      <w:pPr>
        <w:spacing w:after="0"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 xml:space="preserve">(vgl. </w:t>
      </w:r>
      <w:proofErr w:type="spellStart"/>
      <w:r w:rsidRPr="00D1021A">
        <w:rPr>
          <w:rFonts w:ascii="Poppins" w:eastAsia="Aptos" w:hAnsi="Poppins" w:cs="Poppins"/>
          <w:color w:val="000000" w:themeColor="text1"/>
          <w:sz w:val="24"/>
          <w:szCs w:val="24"/>
        </w:rPr>
        <w:t>Mayrberger</w:t>
      </w:r>
      <w:proofErr w:type="spellEnd"/>
      <w:r w:rsidRPr="00D1021A">
        <w:rPr>
          <w:rFonts w:ascii="Poppins" w:eastAsia="Aptos" w:hAnsi="Poppins" w:cs="Poppins"/>
          <w:color w:val="000000" w:themeColor="text1"/>
          <w:sz w:val="24"/>
          <w:szCs w:val="24"/>
        </w:rPr>
        <w:t xml:space="preserve"> et al., 2018, S. 34</w:t>
      </w:r>
      <w:r w:rsidR="00C56162" w:rsidRPr="00D1021A">
        <w:rPr>
          <w:rFonts w:ascii="Poppins" w:eastAsia="Aptos" w:hAnsi="Poppins" w:cs="Poppins"/>
          <w:color w:val="000000" w:themeColor="text1"/>
          <w:sz w:val="24"/>
          <w:szCs w:val="24"/>
        </w:rPr>
        <w:t>)</w:t>
      </w:r>
    </w:p>
    <w:p w14:paraId="5B8674E4" w14:textId="77777777" w:rsidR="00FE4696" w:rsidRPr="00D1021A" w:rsidRDefault="00FE4696" w:rsidP="002738F9">
      <w:pPr>
        <w:spacing w:after="0" w:line="360" w:lineRule="auto"/>
        <w:ind w:right="-20"/>
        <w:rPr>
          <w:rFonts w:ascii="Poppins" w:eastAsia="Aptos" w:hAnsi="Poppins" w:cs="Poppins"/>
          <w:color w:val="000000" w:themeColor="text1"/>
          <w:sz w:val="24"/>
          <w:szCs w:val="24"/>
        </w:rPr>
      </w:pPr>
    </w:p>
    <w:p w14:paraId="4556D427" w14:textId="2AF030A2" w:rsidR="002738F9" w:rsidRPr="00D1021A" w:rsidRDefault="00B3774C" w:rsidP="002738F9">
      <w:pPr>
        <w:spacing w:after="0"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lastRenderedPageBreak/>
        <w:t xml:space="preserve">Diese Skalen können als kurze Version des Instruments dienen. </w:t>
      </w:r>
      <w:r w:rsidR="002738F9" w:rsidRPr="00D1021A">
        <w:rPr>
          <w:rFonts w:ascii="Poppins" w:eastAsia="Aptos" w:hAnsi="Poppins" w:cs="Poppins"/>
          <w:color w:val="000000" w:themeColor="text1"/>
          <w:sz w:val="24"/>
          <w:szCs w:val="24"/>
        </w:rPr>
        <w:t xml:space="preserve">Darüber hinaus </w:t>
      </w:r>
      <w:r w:rsidRPr="00D1021A">
        <w:rPr>
          <w:rFonts w:ascii="Poppins" w:eastAsia="Aptos" w:hAnsi="Poppins" w:cs="Poppins"/>
          <w:color w:val="000000" w:themeColor="text1"/>
          <w:sz w:val="24"/>
          <w:szCs w:val="24"/>
        </w:rPr>
        <w:t xml:space="preserve">jedoch </w:t>
      </w:r>
      <w:r w:rsidR="002738F9" w:rsidRPr="00D1021A">
        <w:rPr>
          <w:rFonts w:ascii="Poppins" w:eastAsia="Aptos" w:hAnsi="Poppins" w:cs="Poppins"/>
          <w:color w:val="000000" w:themeColor="text1"/>
          <w:sz w:val="24"/>
          <w:szCs w:val="24"/>
        </w:rPr>
        <w:t>stellt das Instrument für jedes Kriterium eine fünfstufige Likert-Skala</w:t>
      </w:r>
      <w:r w:rsidR="009F4163" w:rsidRPr="00D1021A">
        <w:rPr>
          <w:rFonts w:ascii="Poppins" w:eastAsia="Aptos" w:hAnsi="Poppins" w:cs="Poppins"/>
          <w:color w:val="000000" w:themeColor="text1"/>
          <w:sz w:val="24"/>
          <w:szCs w:val="24"/>
        </w:rPr>
        <w:t xml:space="preserve">) </w:t>
      </w:r>
      <w:r w:rsidR="002738F9" w:rsidRPr="00D1021A">
        <w:rPr>
          <w:rFonts w:ascii="Poppins" w:eastAsia="Aptos" w:hAnsi="Poppins" w:cs="Poppins"/>
          <w:color w:val="000000" w:themeColor="text1"/>
          <w:sz w:val="24"/>
          <w:szCs w:val="24"/>
        </w:rPr>
        <w:t>bereit</w:t>
      </w:r>
      <w:r w:rsidR="00C62754" w:rsidRPr="00D1021A">
        <w:rPr>
          <w:rFonts w:ascii="Poppins" w:eastAsia="Aptos" w:hAnsi="Poppins" w:cs="Poppins"/>
          <w:color w:val="000000" w:themeColor="text1"/>
          <w:sz w:val="24"/>
          <w:szCs w:val="24"/>
        </w:rPr>
        <w:t xml:space="preserve"> (</w:t>
      </w:r>
      <w:r w:rsidR="00C62754" w:rsidRPr="00D1021A">
        <w:rPr>
          <w:rFonts w:ascii="Poppins" w:eastAsia="Aptos" w:hAnsi="Poppins" w:cs="Poppins"/>
          <w:i/>
          <w:iCs/>
          <w:color w:val="000000" w:themeColor="text1"/>
          <w:sz w:val="24"/>
          <w:szCs w:val="24"/>
        </w:rPr>
        <w:t xml:space="preserve">trifft überhaupt nicht zu, trifft eher nicht zu, trifft mittelmäßig zu, trifft eher zu, trifft </w:t>
      </w:r>
      <w:proofErr w:type="gramStart"/>
      <w:r w:rsidR="00C62754" w:rsidRPr="00D1021A">
        <w:rPr>
          <w:rFonts w:ascii="Poppins" w:eastAsia="Aptos" w:hAnsi="Poppins" w:cs="Poppins"/>
          <w:i/>
          <w:iCs/>
          <w:color w:val="000000" w:themeColor="text1"/>
          <w:sz w:val="24"/>
          <w:szCs w:val="24"/>
        </w:rPr>
        <w:t xml:space="preserve">voll und ganz </w:t>
      </w:r>
      <w:proofErr w:type="gramEnd"/>
      <w:r w:rsidR="00C62754" w:rsidRPr="00D1021A">
        <w:rPr>
          <w:rFonts w:ascii="Poppins" w:eastAsia="Aptos" w:hAnsi="Poppins" w:cs="Poppins"/>
          <w:i/>
          <w:iCs/>
          <w:color w:val="000000" w:themeColor="text1"/>
          <w:sz w:val="24"/>
          <w:szCs w:val="24"/>
        </w:rPr>
        <w:t>zu</w:t>
      </w:r>
      <w:r w:rsidR="00C62754" w:rsidRPr="00D1021A">
        <w:rPr>
          <w:rFonts w:ascii="Poppins" w:eastAsia="Aptos" w:hAnsi="Poppins" w:cs="Poppins"/>
          <w:color w:val="000000" w:themeColor="text1"/>
          <w:sz w:val="24"/>
          <w:szCs w:val="24"/>
        </w:rPr>
        <w:t xml:space="preserve"> und </w:t>
      </w:r>
      <w:r w:rsidR="00C62754" w:rsidRPr="00D1021A">
        <w:rPr>
          <w:rFonts w:ascii="Poppins" w:eastAsia="Aptos" w:hAnsi="Poppins" w:cs="Poppins"/>
          <w:i/>
          <w:iCs/>
          <w:color w:val="000000" w:themeColor="text1"/>
          <w:sz w:val="24"/>
          <w:szCs w:val="24"/>
        </w:rPr>
        <w:t>Bewertung nicht möglich</w:t>
      </w:r>
      <w:r w:rsidR="00C62754" w:rsidRPr="00D1021A">
        <w:rPr>
          <w:rFonts w:ascii="Poppins" w:eastAsia="Aptos" w:hAnsi="Poppins" w:cs="Poppins"/>
          <w:color w:val="000000" w:themeColor="text1"/>
          <w:sz w:val="24"/>
          <w:szCs w:val="24"/>
        </w:rPr>
        <w:t xml:space="preserve">). </w:t>
      </w:r>
      <w:r w:rsidR="002738F9" w:rsidRPr="00D1021A">
        <w:rPr>
          <w:rFonts w:ascii="Poppins" w:eastAsia="Aptos" w:hAnsi="Poppins" w:cs="Poppins"/>
          <w:color w:val="000000" w:themeColor="text1"/>
          <w:sz w:val="24"/>
          <w:szCs w:val="24"/>
        </w:rPr>
        <w:t>Hier bestehen die Items aus einzelnen Aussagen, die von den Bewertenden beurteilt werden. Anschließend kann ein Durchschnittswert über die Punkteskala berechnet werden (</w:t>
      </w:r>
      <w:r w:rsidR="000B7C05" w:rsidRPr="00D1021A">
        <w:rPr>
          <w:rFonts w:ascii="Poppins" w:eastAsia="Aptos" w:hAnsi="Poppins" w:cs="Poppins"/>
          <w:color w:val="000000" w:themeColor="text1"/>
          <w:sz w:val="24"/>
          <w:szCs w:val="24"/>
        </w:rPr>
        <w:t xml:space="preserve">vgl. </w:t>
      </w:r>
      <w:proofErr w:type="spellStart"/>
      <w:r w:rsidR="00CA1FA7" w:rsidRPr="00D1021A">
        <w:rPr>
          <w:rFonts w:ascii="Poppins" w:eastAsia="Aptos" w:hAnsi="Poppins" w:cs="Poppins"/>
          <w:color w:val="000000" w:themeColor="text1"/>
          <w:sz w:val="24"/>
          <w:szCs w:val="24"/>
        </w:rPr>
        <w:t>Mayrberger</w:t>
      </w:r>
      <w:proofErr w:type="spellEnd"/>
      <w:r w:rsidR="00CA1FA7" w:rsidRPr="00D1021A">
        <w:rPr>
          <w:rFonts w:ascii="Poppins" w:eastAsia="Aptos" w:hAnsi="Poppins" w:cs="Poppins"/>
          <w:color w:val="000000" w:themeColor="text1"/>
          <w:sz w:val="24"/>
          <w:szCs w:val="24"/>
        </w:rPr>
        <w:t xml:space="preserve"> et al., 2018, S. 35 / </w:t>
      </w:r>
      <w:proofErr w:type="spellStart"/>
      <w:r w:rsidR="000B7C05" w:rsidRPr="00D1021A">
        <w:rPr>
          <w:rFonts w:ascii="Poppins" w:eastAsia="Aptos" w:hAnsi="Poppins" w:cs="Poppins"/>
          <w:color w:val="000000" w:themeColor="text1"/>
          <w:sz w:val="24"/>
          <w:szCs w:val="24"/>
        </w:rPr>
        <w:t>Zawacki</w:t>
      </w:r>
      <w:proofErr w:type="spellEnd"/>
      <w:r w:rsidR="000B7C05" w:rsidRPr="00D1021A">
        <w:rPr>
          <w:rFonts w:ascii="Poppins" w:eastAsia="Aptos" w:hAnsi="Poppins" w:cs="Poppins"/>
          <w:color w:val="000000" w:themeColor="text1"/>
          <w:sz w:val="24"/>
          <w:szCs w:val="24"/>
        </w:rPr>
        <w:t>-Richter et al. 202</w:t>
      </w:r>
      <w:r w:rsidRPr="00D1021A">
        <w:rPr>
          <w:rFonts w:ascii="Poppins" w:eastAsia="Aptos" w:hAnsi="Poppins" w:cs="Poppins"/>
          <w:color w:val="000000" w:themeColor="text1"/>
          <w:sz w:val="24"/>
          <w:szCs w:val="24"/>
        </w:rPr>
        <w:t>2</w:t>
      </w:r>
      <w:r w:rsidR="000B7C05" w:rsidRPr="00D1021A">
        <w:rPr>
          <w:rFonts w:ascii="Poppins" w:eastAsia="Aptos" w:hAnsi="Poppins" w:cs="Poppins"/>
          <w:color w:val="000000" w:themeColor="text1"/>
          <w:sz w:val="24"/>
          <w:szCs w:val="24"/>
        </w:rPr>
        <w:t xml:space="preserve">, </w:t>
      </w:r>
      <w:r w:rsidR="002738F9" w:rsidRPr="00D1021A">
        <w:rPr>
          <w:rFonts w:ascii="Poppins" w:eastAsia="Aptos" w:hAnsi="Poppins" w:cs="Poppins"/>
          <w:color w:val="000000" w:themeColor="text1"/>
          <w:sz w:val="24"/>
          <w:szCs w:val="24"/>
        </w:rPr>
        <w:t xml:space="preserve">S. </w:t>
      </w:r>
      <w:r w:rsidRPr="00D1021A">
        <w:rPr>
          <w:rFonts w:ascii="Poppins" w:eastAsia="Aptos" w:hAnsi="Poppins" w:cs="Poppins"/>
          <w:color w:val="000000" w:themeColor="text1"/>
          <w:sz w:val="24"/>
          <w:szCs w:val="24"/>
        </w:rPr>
        <w:t>11</w:t>
      </w:r>
      <w:r w:rsidR="00C4009D" w:rsidRPr="00D1021A">
        <w:rPr>
          <w:rFonts w:ascii="Poppins" w:eastAsia="Aptos" w:hAnsi="Poppins" w:cs="Poppins"/>
          <w:color w:val="000000" w:themeColor="text1"/>
          <w:sz w:val="24"/>
          <w:szCs w:val="24"/>
        </w:rPr>
        <w:t xml:space="preserve"> </w:t>
      </w:r>
      <w:r w:rsidR="00C4009D" w:rsidRPr="00D1021A">
        <w:rPr>
          <w:rStyle w:val="Kommentarzeichen"/>
          <w:rFonts w:ascii="Poppins" w:hAnsi="Poppins" w:cs="Poppins"/>
          <w:sz w:val="24"/>
          <w:szCs w:val="24"/>
        </w:rPr>
        <w:t>f. /</w:t>
      </w:r>
      <w:r w:rsidR="000F68DD" w:rsidRPr="00D1021A">
        <w:rPr>
          <w:rFonts w:ascii="Poppins" w:eastAsia="Aptos" w:hAnsi="Poppins" w:cs="Poppins"/>
          <w:color w:val="000000" w:themeColor="text1"/>
          <w:sz w:val="32"/>
          <w:szCs w:val="32"/>
        </w:rPr>
        <w:t xml:space="preserve"> </w:t>
      </w:r>
      <w:r w:rsidR="000F68DD" w:rsidRPr="00D1021A">
        <w:rPr>
          <w:rFonts w:ascii="Poppins" w:eastAsia="Aptos" w:hAnsi="Poppins" w:cs="Poppins"/>
          <w:color w:val="000000" w:themeColor="text1"/>
          <w:sz w:val="24"/>
          <w:szCs w:val="24"/>
        </w:rPr>
        <w:t>Lübben et al. 2023, S. 148</w:t>
      </w:r>
      <w:r w:rsidR="00C4009D" w:rsidRPr="00D1021A">
        <w:rPr>
          <w:rFonts w:ascii="Poppins" w:eastAsia="Aptos" w:hAnsi="Poppins" w:cs="Poppins"/>
          <w:color w:val="000000" w:themeColor="text1"/>
          <w:sz w:val="24"/>
          <w:szCs w:val="24"/>
        </w:rPr>
        <w:t xml:space="preserve"> f.</w:t>
      </w:r>
      <w:r w:rsidR="002738F9" w:rsidRPr="00D1021A">
        <w:rPr>
          <w:rFonts w:ascii="Poppins" w:eastAsia="Aptos" w:hAnsi="Poppins" w:cs="Poppins"/>
          <w:color w:val="000000" w:themeColor="text1"/>
          <w:sz w:val="24"/>
          <w:szCs w:val="24"/>
        </w:rPr>
        <w:t>).</w:t>
      </w:r>
    </w:p>
    <w:p w14:paraId="59CE61F2" w14:textId="3D8BC2E4" w:rsidR="003576B7" w:rsidRPr="00D1021A" w:rsidRDefault="00C62754" w:rsidP="00C62754">
      <w:pPr>
        <w:pStyle w:val="Flietext"/>
        <w:jc w:val="left"/>
        <w:rPr>
          <w:rFonts w:ascii="Poppins" w:eastAsia="Aptos" w:hAnsi="Poppins" w:cs="Poppins"/>
          <w:color w:val="000000" w:themeColor="text1"/>
          <w:szCs w:val="24"/>
        </w:rPr>
      </w:pPr>
      <w:r w:rsidRPr="00D1021A">
        <w:rPr>
          <w:rFonts w:ascii="Poppins" w:eastAsia="Aptos" w:hAnsi="Poppins" w:cs="Poppins"/>
          <w:color w:val="000000" w:themeColor="text1"/>
          <w:szCs w:val="24"/>
        </w:rPr>
        <w:t>Wie genau das aussehen kann, wird im Folgenden für die vier HOOU-Pflichtkriterien aufgezeigt.</w:t>
      </w:r>
    </w:p>
    <w:p w14:paraId="697EDBC9" w14:textId="77777777" w:rsidR="00CC11A5" w:rsidRPr="00D1021A" w:rsidRDefault="00CC11A5" w:rsidP="009B614E">
      <w:pPr>
        <w:pStyle w:val="berschrift2"/>
        <w:rPr>
          <w:rFonts w:ascii="Poppins" w:hAnsi="Poppins" w:cs="Poppins"/>
        </w:rPr>
      </w:pPr>
      <w:bookmarkStart w:id="88" w:name="_Toc177037316"/>
      <w:r w:rsidRPr="00D1021A">
        <w:rPr>
          <w:rFonts w:ascii="Poppins" w:hAnsi="Poppins" w:cs="Poppins"/>
        </w:rPr>
        <w:t>Vier HOOU-Qualitätskriterien</w:t>
      </w:r>
      <w:bookmarkEnd w:id="88"/>
    </w:p>
    <w:p w14:paraId="4B87D551" w14:textId="25F505D7" w:rsidR="008E46E1" w:rsidRPr="00D1021A" w:rsidRDefault="00CC11A5" w:rsidP="00E55947">
      <w:pPr>
        <w:pStyle w:val="Flietext"/>
        <w:jc w:val="left"/>
        <w:rPr>
          <w:rFonts w:ascii="Poppins" w:hAnsi="Poppins" w:cs="Poppins"/>
        </w:rPr>
      </w:pPr>
      <w:r w:rsidRPr="00D1021A">
        <w:rPr>
          <w:rFonts w:ascii="Poppins" w:hAnsi="Poppins" w:cs="Poppins"/>
        </w:rPr>
        <w:t xml:space="preserve">Auf Grundlage der HOOU-Leitideen und der Struktur der HOOU </w:t>
      </w:r>
      <w:r w:rsidR="009123EE" w:rsidRPr="00D1021A">
        <w:rPr>
          <w:rFonts w:ascii="Poppins" w:hAnsi="Poppins" w:cs="Poppins"/>
        </w:rPr>
        <w:t>haben si</w:t>
      </w:r>
      <w:r w:rsidR="00CD30EB" w:rsidRPr="00D1021A">
        <w:rPr>
          <w:rFonts w:ascii="Poppins" w:hAnsi="Poppins" w:cs="Poppins"/>
        </w:rPr>
        <w:t>ch</w:t>
      </w:r>
      <w:r w:rsidR="009123EE" w:rsidRPr="00D1021A">
        <w:rPr>
          <w:rFonts w:ascii="Poppins" w:hAnsi="Poppins" w:cs="Poppins"/>
        </w:rPr>
        <w:t xml:space="preserve"> die HOOU-Institutionen auf </w:t>
      </w:r>
      <w:r w:rsidRPr="00D1021A">
        <w:rPr>
          <w:rFonts w:ascii="Poppins" w:hAnsi="Poppins" w:cs="Poppins"/>
        </w:rPr>
        <w:t>vier Pflichtkriterien</w:t>
      </w:r>
      <w:r w:rsidR="009123EE" w:rsidRPr="00D1021A">
        <w:rPr>
          <w:rFonts w:ascii="Poppins" w:hAnsi="Poppins" w:cs="Poppins"/>
        </w:rPr>
        <w:t xml:space="preserve"> geeinigt</w:t>
      </w:r>
      <w:r w:rsidRPr="00D1021A">
        <w:rPr>
          <w:rFonts w:ascii="Poppins" w:hAnsi="Poppins" w:cs="Poppins"/>
        </w:rPr>
        <w:t>, die für die Bereitstellung auf der HOOU erfüllt sein müssen</w:t>
      </w:r>
      <w:r w:rsidR="009123EE" w:rsidRPr="00D1021A">
        <w:rPr>
          <w:rFonts w:ascii="Poppins" w:hAnsi="Poppins" w:cs="Poppins"/>
        </w:rPr>
        <w:t xml:space="preserve">. </w:t>
      </w:r>
    </w:p>
    <w:p w14:paraId="42C2908D" w14:textId="08FF7713" w:rsidR="00CC11A5" w:rsidRPr="00D1021A" w:rsidRDefault="009123EE" w:rsidP="00E55947">
      <w:pPr>
        <w:pStyle w:val="Flietext"/>
        <w:jc w:val="left"/>
        <w:rPr>
          <w:rFonts w:ascii="Poppins" w:hAnsi="Poppins" w:cs="Poppins"/>
        </w:rPr>
      </w:pPr>
      <w:r w:rsidRPr="00D1021A">
        <w:rPr>
          <w:rFonts w:ascii="Poppins" w:hAnsi="Poppins" w:cs="Poppins"/>
        </w:rPr>
        <w:t>Diese sind:</w:t>
      </w:r>
    </w:p>
    <w:p w14:paraId="3D304598" w14:textId="77777777" w:rsidR="00CC11A5" w:rsidRPr="00D1021A" w:rsidRDefault="00CC11A5" w:rsidP="002004EB">
      <w:pPr>
        <w:pStyle w:val="Listenabsatz"/>
        <w:numPr>
          <w:ilvl w:val="0"/>
          <w:numId w:val="1"/>
        </w:numPr>
        <w:spacing w:after="0" w:line="360" w:lineRule="auto"/>
        <w:ind w:left="1060"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Fachwissenschaftliche Fundierung</w:t>
      </w:r>
    </w:p>
    <w:p w14:paraId="7FEA9FEC" w14:textId="77777777" w:rsidR="00CC11A5" w:rsidRPr="00D1021A" w:rsidRDefault="00CC11A5" w:rsidP="002004EB">
      <w:pPr>
        <w:pStyle w:val="Listenabsatz"/>
        <w:numPr>
          <w:ilvl w:val="0"/>
          <w:numId w:val="1"/>
        </w:numPr>
        <w:spacing w:after="0" w:line="360" w:lineRule="auto"/>
        <w:ind w:left="1060"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CC-Lizenz</w:t>
      </w:r>
    </w:p>
    <w:p w14:paraId="67061A6A" w14:textId="77777777" w:rsidR="00CC11A5" w:rsidRPr="00D1021A" w:rsidRDefault="00CC11A5" w:rsidP="002004EB">
      <w:pPr>
        <w:pStyle w:val="Listenabsatz"/>
        <w:numPr>
          <w:ilvl w:val="0"/>
          <w:numId w:val="1"/>
        </w:numPr>
        <w:spacing w:after="0" w:line="360" w:lineRule="auto"/>
        <w:ind w:left="1060"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Alignment</w:t>
      </w:r>
    </w:p>
    <w:p w14:paraId="4C6A026F" w14:textId="11674FD7" w:rsidR="008E46E1" w:rsidRPr="00D1021A" w:rsidRDefault="00CC11A5" w:rsidP="002004EB">
      <w:pPr>
        <w:pStyle w:val="Listenabsatz"/>
        <w:numPr>
          <w:ilvl w:val="0"/>
          <w:numId w:val="1"/>
        </w:numPr>
        <w:spacing w:after="0" w:line="360" w:lineRule="auto"/>
        <w:ind w:left="1060"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Inhaltliche Wiederverwendbarkeit</w:t>
      </w:r>
    </w:p>
    <w:p w14:paraId="5743CB9C" w14:textId="5361EFA4" w:rsidR="00B10DD2" w:rsidRPr="00D1021A" w:rsidRDefault="00BA74DC" w:rsidP="00B10DD2">
      <w:pPr>
        <w:pStyle w:val="Flietext"/>
        <w:jc w:val="left"/>
        <w:rPr>
          <w:rFonts w:ascii="Poppins" w:hAnsi="Poppins" w:cs="Poppins"/>
        </w:rPr>
      </w:pPr>
      <w:r w:rsidRPr="00D1021A">
        <w:rPr>
          <w:rFonts w:ascii="Poppins" w:hAnsi="Poppins" w:cs="Poppins"/>
        </w:rPr>
        <w:t>Damit alle Menschen das Lernangebot nutzen können</w:t>
      </w:r>
      <w:r w:rsidR="002D573B" w:rsidRPr="00D1021A">
        <w:rPr>
          <w:rFonts w:ascii="Poppins" w:hAnsi="Poppins" w:cs="Poppins"/>
        </w:rPr>
        <w:t>,</w:t>
      </w:r>
      <w:r w:rsidRPr="00D1021A">
        <w:rPr>
          <w:rFonts w:ascii="Poppins" w:hAnsi="Poppins" w:cs="Poppins"/>
        </w:rPr>
        <w:t xml:space="preserve"> müssen zudem die gesetzlichen Vorgaben zur Barrierefreiheit erfüllt werden. Hier werden die Empfehlungen der WCAG </w:t>
      </w:r>
      <w:r w:rsidR="005B1C93" w:rsidRPr="00D1021A">
        <w:rPr>
          <w:rFonts w:ascii="Poppins" w:hAnsi="Poppins" w:cs="Poppins"/>
        </w:rPr>
        <w:t>(</w:t>
      </w:r>
      <w:hyperlink r:id="rId14" w:history="1">
        <w:r w:rsidR="005B1C93" w:rsidRPr="00D1021A">
          <w:rPr>
            <w:rStyle w:val="Hyperlink"/>
            <w:rFonts w:ascii="Poppins" w:hAnsi="Poppins" w:cs="Poppins"/>
          </w:rPr>
          <w:t xml:space="preserve">Web Content </w:t>
        </w:r>
        <w:proofErr w:type="spellStart"/>
        <w:r w:rsidR="005B1C93" w:rsidRPr="00D1021A">
          <w:rPr>
            <w:rStyle w:val="Hyperlink"/>
            <w:rFonts w:ascii="Poppins" w:hAnsi="Poppins" w:cs="Poppins"/>
          </w:rPr>
          <w:t>Accessibility</w:t>
        </w:r>
        <w:proofErr w:type="spellEnd"/>
        <w:r w:rsidR="005B1C93" w:rsidRPr="00D1021A">
          <w:rPr>
            <w:rStyle w:val="Hyperlink"/>
            <w:rFonts w:ascii="Poppins" w:hAnsi="Poppins" w:cs="Poppins"/>
          </w:rPr>
          <w:t xml:space="preserve"> Guideline</w:t>
        </w:r>
      </w:hyperlink>
      <w:r w:rsidR="005B1C93" w:rsidRPr="00D1021A">
        <w:rPr>
          <w:rFonts w:ascii="Poppins" w:hAnsi="Poppins" w:cs="Poppins"/>
        </w:rPr>
        <w:t xml:space="preserve">) </w:t>
      </w:r>
      <w:r w:rsidR="000A4ECE" w:rsidRPr="00D1021A">
        <w:rPr>
          <w:rFonts w:ascii="Poppins" w:hAnsi="Poppins" w:cs="Poppins"/>
        </w:rPr>
        <w:t xml:space="preserve">(vgl. </w:t>
      </w:r>
      <w:bookmarkStart w:id="89" w:name="_Hlk176940455"/>
      <w:r w:rsidR="000A4ECE" w:rsidRPr="00D1021A">
        <w:rPr>
          <w:rFonts w:ascii="Poppins" w:hAnsi="Poppins" w:cs="Poppins"/>
        </w:rPr>
        <w:lastRenderedPageBreak/>
        <w:t xml:space="preserve">WCAG 2.1, 2023, </w:t>
      </w:r>
      <w:bookmarkEnd w:id="89"/>
      <w:r w:rsidR="000A4ECE" w:rsidRPr="00D1021A">
        <w:rPr>
          <w:rFonts w:ascii="Poppins" w:hAnsi="Poppins" w:cs="Poppins"/>
        </w:rPr>
        <w:t>o. S. /</w:t>
      </w:r>
      <w:r w:rsidR="00742261" w:rsidRPr="00D1021A">
        <w:rPr>
          <w:rFonts w:ascii="Poppins" w:hAnsi="Poppins" w:cs="Poppins"/>
        </w:rPr>
        <w:t xml:space="preserve"> BMI</w:t>
      </w:r>
      <w:r w:rsidR="000A4ECE" w:rsidRPr="00D1021A">
        <w:rPr>
          <w:rFonts w:ascii="Poppins" w:hAnsi="Poppins" w:cs="Poppins"/>
        </w:rPr>
        <w:t xml:space="preserve">, 2024, o. S.) </w:t>
      </w:r>
      <w:r w:rsidR="002C60E0" w:rsidRPr="00D1021A">
        <w:rPr>
          <w:rFonts w:ascii="Poppins" w:hAnsi="Poppins" w:cs="Poppins"/>
        </w:rPr>
        <w:t xml:space="preserve">sukzessive umgesetzt, </w:t>
      </w:r>
      <w:r w:rsidR="005B1C93" w:rsidRPr="00D1021A">
        <w:rPr>
          <w:rFonts w:ascii="Poppins" w:hAnsi="Poppins" w:cs="Poppins"/>
        </w:rPr>
        <w:t xml:space="preserve">welche ebenfalls im Kriterium „Zugang für Menschen mit Beeinträchtigungen“ als maßgeblich genannt werden (vgl. </w:t>
      </w:r>
      <w:proofErr w:type="spellStart"/>
      <w:r w:rsidR="005B1C93" w:rsidRPr="00D1021A">
        <w:rPr>
          <w:rFonts w:ascii="Poppins" w:hAnsi="Poppins" w:cs="Poppins"/>
        </w:rPr>
        <w:t>Müskens</w:t>
      </w:r>
      <w:proofErr w:type="spellEnd"/>
      <w:r w:rsidR="005B1C93" w:rsidRPr="00D1021A">
        <w:rPr>
          <w:rFonts w:ascii="Poppins" w:hAnsi="Poppins" w:cs="Poppins"/>
        </w:rPr>
        <w:t xml:space="preserve"> et al., 2021, S. 28).</w:t>
      </w:r>
    </w:p>
    <w:p w14:paraId="4B88367B" w14:textId="63A3A55C" w:rsidR="00F7351E" w:rsidRPr="00D1021A" w:rsidRDefault="00B10DD2" w:rsidP="00B10DD2">
      <w:pPr>
        <w:pStyle w:val="Flietext"/>
        <w:jc w:val="left"/>
        <w:rPr>
          <w:rFonts w:ascii="Poppins" w:hAnsi="Poppins" w:cs="Poppins"/>
        </w:rPr>
      </w:pPr>
      <w:r w:rsidRPr="00D1021A">
        <w:rPr>
          <w:rFonts w:ascii="Poppins" w:hAnsi="Poppins" w:cs="Poppins"/>
        </w:rPr>
        <w:t xml:space="preserve">Im Folgenden werden die vier HOOU-Pflichtkriterien genauer beschrieben. Zudem werden bereits an dieser Stelle Auszüge (Skalen, Items) aus dem „Instrument der Qualitätssicherung von OER – </w:t>
      </w:r>
      <w:proofErr w:type="spellStart"/>
      <w:r w:rsidRPr="00D1021A">
        <w:rPr>
          <w:rFonts w:ascii="Poppins" w:hAnsi="Poppins" w:cs="Poppins"/>
        </w:rPr>
        <w:t>IQOer</w:t>
      </w:r>
      <w:proofErr w:type="spellEnd"/>
      <w:r w:rsidRPr="00D1021A">
        <w:rPr>
          <w:rFonts w:ascii="Poppins" w:hAnsi="Poppins" w:cs="Poppins"/>
        </w:rPr>
        <w:t xml:space="preserve"> – Entwicklungsversion 17 (Stand: 11.06.2021)“ </w:t>
      </w:r>
      <w:bookmarkStart w:id="90" w:name="_Hlk174098830"/>
      <w:r w:rsidRPr="00D1021A">
        <w:rPr>
          <w:rFonts w:ascii="Poppins" w:hAnsi="Poppins" w:cs="Poppins"/>
        </w:rPr>
        <w:t>(</w:t>
      </w:r>
      <w:proofErr w:type="spellStart"/>
      <w:r w:rsidRPr="00D1021A">
        <w:rPr>
          <w:rFonts w:ascii="Poppins" w:hAnsi="Poppins" w:cs="Poppins"/>
        </w:rPr>
        <w:t>Müskens</w:t>
      </w:r>
      <w:proofErr w:type="spellEnd"/>
      <w:r w:rsidRPr="00D1021A">
        <w:rPr>
          <w:rFonts w:ascii="Poppins" w:hAnsi="Poppins" w:cs="Poppins"/>
        </w:rPr>
        <w:t xml:space="preserve"> et al., 2021) </w:t>
      </w:r>
      <w:bookmarkEnd w:id="90"/>
      <w:r w:rsidRPr="00D1021A">
        <w:rPr>
          <w:rFonts w:ascii="Poppins" w:hAnsi="Poppins" w:cs="Poppins"/>
        </w:rPr>
        <w:t>grafisch angepasst bereitgestellt.</w:t>
      </w:r>
    </w:p>
    <w:p w14:paraId="55445280" w14:textId="491915E5" w:rsidR="008E46E1" w:rsidRPr="00D1021A" w:rsidRDefault="008E46E1" w:rsidP="009B614E">
      <w:pPr>
        <w:pStyle w:val="berschrift3"/>
        <w:rPr>
          <w:rFonts w:ascii="Poppins" w:hAnsi="Poppins" w:cs="Poppins"/>
        </w:rPr>
      </w:pPr>
      <w:bookmarkStart w:id="91" w:name="_Toc177037317"/>
      <w:r w:rsidRPr="00D1021A">
        <w:rPr>
          <w:rFonts w:ascii="Poppins" w:hAnsi="Poppins" w:cs="Poppins"/>
        </w:rPr>
        <w:t>Fachwissenschaftliche Fundierung</w:t>
      </w:r>
      <w:bookmarkEnd w:id="91"/>
    </w:p>
    <w:p w14:paraId="0324E520" w14:textId="0C1B51E3" w:rsidR="00EB12B6" w:rsidRPr="00D1021A" w:rsidRDefault="008E46E1" w:rsidP="009B614E">
      <w:pPr>
        <w:spacing w:line="360" w:lineRule="auto"/>
        <w:rPr>
          <w:rFonts w:ascii="Poppins" w:hAnsi="Poppins" w:cs="Poppins"/>
          <w:sz w:val="24"/>
          <w:szCs w:val="24"/>
        </w:rPr>
      </w:pPr>
      <w:r w:rsidRPr="00D1021A">
        <w:rPr>
          <w:rFonts w:ascii="Poppins" w:hAnsi="Poppins" w:cs="Poppins"/>
          <w:sz w:val="24"/>
          <w:szCs w:val="24"/>
        </w:rPr>
        <w:t>Das Kriterium der fachwissenschaftlichen Fundierung besagt, dass alle Inhalte der Lernangebote fachwissenschaftlich korrekt</w:t>
      </w:r>
      <w:r w:rsidR="00337FFB" w:rsidRPr="00D1021A">
        <w:rPr>
          <w:rFonts w:ascii="Poppins" w:hAnsi="Poppins" w:cs="Poppins"/>
          <w:sz w:val="24"/>
          <w:szCs w:val="24"/>
        </w:rPr>
        <w:t xml:space="preserve"> und </w:t>
      </w:r>
      <w:r w:rsidRPr="00D1021A">
        <w:rPr>
          <w:rFonts w:ascii="Poppins" w:hAnsi="Poppins" w:cs="Poppins"/>
          <w:sz w:val="24"/>
          <w:szCs w:val="24"/>
        </w:rPr>
        <w:t>relevant sind</w:t>
      </w:r>
      <w:r w:rsidR="00337FFB" w:rsidRPr="00D1021A">
        <w:rPr>
          <w:rFonts w:ascii="Poppins" w:hAnsi="Poppins" w:cs="Poppins"/>
          <w:sz w:val="24"/>
          <w:szCs w:val="24"/>
        </w:rPr>
        <w:t xml:space="preserve"> sowie dem aktuellen Stand der Forschung entsprechen</w:t>
      </w:r>
      <w:r w:rsidRPr="00D1021A">
        <w:rPr>
          <w:rFonts w:ascii="Poppins" w:hAnsi="Poppins" w:cs="Poppins"/>
          <w:sz w:val="24"/>
          <w:szCs w:val="24"/>
        </w:rPr>
        <w:t xml:space="preserve">. Sie wurden unter Einhaltung der wissenschaftlichen Standards erarbeitet und enthalten bibliographische Literaturquellen </w:t>
      </w:r>
      <w:bookmarkStart w:id="92" w:name="_Hlk174098866"/>
      <w:r w:rsidRPr="00D1021A">
        <w:rPr>
          <w:rFonts w:ascii="Poppins" w:hAnsi="Poppins" w:cs="Poppins"/>
          <w:sz w:val="24"/>
          <w:szCs w:val="24"/>
        </w:rPr>
        <w:t xml:space="preserve">(vgl. </w:t>
      </w:r>
      <w:proofErr w:type="spellStart"/>
      <w:r w:rsidRPr="00D1021A">
        <w:rPr>
          <w:rFonts w:ascii="Poppins" w:hAnsi="Poppins" w:cs="Poppins"/>
          <w:sz w:val="24"/>
          <w:szCs w:val="24"/>
        </w:rPr>
        <w:t>Mayrberger</w:t>
      </w:r>
      <w:proofErr w:type="spellEnd"/>
      <w:r w:rsidR="00272E43" w:rsidRPr="00D1021A">
        <w:rPr>
          <w:rFonts w:ascii="Poppins" w:hAnsi="Poppins" w:cs="Poppins"/>
          <w:sz w:val="24"/>
          <w:szCs w:val="24"/>
        </w:rPr>
        <w:t>, et al.</w:t>
      </w:r>
      <w:r w:rsidRPr="00D1021A">
        <w:rPr>
          <w:rFonts w:ascii="Poppins" w:hAnsi="Poppins" w:cs="Poppins"/>
          <w:sz w:val="24"/>
          <w:szCs w:val="24"/>
        </w:rPr>
        <w:t xml:space="preserve">, 2018, S. 36). </w:t>
      </w:r>
      <w:bookmarkEnd w:id="92"/>
      <w:r w:rsidR="00337FFB" w:rsidRPr="00D1021A">
        <w:rPr>
          <w:rFonts w:ascii="Poppins" w:hAnsi="Poppins" w:cs="Poppins"/>
          <w:sz w:val="24"/>
          <w:szCs w:val="24"/>
        </w:rPr>
        <w:t xml:space="preserve">Die Ausprägung des Kriteriums wird auf der </w:t>
      </w:r>
      <w:r w:rsidR="00EB12B6" w:rsidRPr="00D1021A">
        <w:rPr>
          <w:rFonts w:ascii="Poppins" w:hAnsi="Poppins" w:cs="Poppins"/>
          <w:sz w:val="24"/>
          <w:szCs w:val="24"/>
        </w:rPr>
        <w:t>Bewertungs-</w:t>
      </w:r>
      <w:r w:rsidR="00337FFB" w:rsidRPr="00D1021A">
        <w:rPr>
          <w:rFonts w:ascii="Poppins" w:hAnsi="Poppins" w:cs="Poppins"/>
          <w:sz w:val="24"/>
          <w:szCs w:val="24"/>
        </w:rPr>
        <w:t>Skala wie folgt eingeordnet</w:t>
      </w:r>
      <w:r w:rsidR="008A65E6" w:rsidRPr="00D1021A">
        <w:rPr>
          <w:rFonts w:ascii="Poppins" w:hAnsi="Poppins" w:cs="Poppins"/>
          <w:sz w:val="24"/>
          <w:szCs w:val="24"/>
        </w:rPr>
        <w:t>.</w:t>
      </w:r>
    </w:p>
    <w:p w14:paraId="689D3A21" w14:textId="6D088A83" w:rsidR="00FE4696" w:rsidRPr="00D1021A" w:rsidRDefault="00FE4696" w:rsidP="009B614E">
      <w:pPr>
        <w:spacing w:line="360" w:lineRule="auto"/>
        <w:rPr>
          <w:rFonts w:ascii="Poppins" w:hAnsi="Poppins" w:cs="Poppins"/>
          <w:sz w:val="24"/>
          <w:szCs w:val="24"/>
        </w:rPr>
      </w:pPr>
      <w:r w:rsidRPr="00D1021A">
        <w:rPr>
          <w:rFonts w:ascii="Poppins" w:hAnsi="Poppins" w:cs="Poppins"/>
          <w:sz w:val="24"/>
          <w:szCs w:val="24"/>
        </w:rPr>
        <w:t>Anmerkung für nachfolgende Skalen und Items (in Tabellenform): Diese sind entnommen aus (leicht abgewandelt):</w:t>
      </w:r>
    </w:p>
    <w:p w14:paraId="24525F6A" w14:textId="65A2F879" w:rsidR="00FE4696" w:rsidRPr="00D1021A" w:rsidRDefault="00FE4696" w:rsidP="009B614E">
      <w:pPr>
        <w:spacing w:line="360" w:lineRule="auto"/>
        <w:rPr>
          <w:rFonts w:ascii="Poppins" w:hAnsi="Poppins" w:cs="Poppins"/>
          <w:sz w:val="24"/>
          <w:szCs w:val="24"/>
        </w:rPr>
      </w:pPr>
      <w:proofErr w:type="spellStart"/>
      <w:r w:rsidRPr="00D1021A">
        <w:rPr>
          <w:rFonts w:ascii="Poppins" w:hAnsi="Poppins" w:cs="Poppins"/>
          <w:sz w:val="24"/>
          <w:szCs w:val="24"/>
        </w:rPr>
        <w:t>Müskens</w:t>
      </w:r>
      <w:proofErr w:type="spellEnd"/>
      <w:r w:rsidRPr="00D1021A">
        <w:rPr>
          <w:rFonts w:ascii="Poppins" w:hAnsi="Poppins" w:cs="Poppins"/>
          <w:sz w:val="24"/>
          <w:szCs w:val="24"/>
        </w:rPr>
        <w:t xml:space="preserve">, et al., 2022: Instrument zur Qualitätssicherung von OER - </w:t>
      </w:r>
      <w:proofErr w:type="spellStart"/>
      <w:r w:rsidRPr="00D1021A">
        <w:rPr>
          <w:rFonts w:ascii="Poppins" w:hAnsi="Poppins" w:cs="Poppins"/>
          <w:sz w:val="24"/>
          <w:szCs w:val="24"/>
        </w:rPr>
        <w:t>IQOer</w:t>
      </w:r>
      <w:proofErr w:type="spellEnd"/>
      <w:r w:rsidRPr="00D1021A">
        <w:rPr>
          <w:rFonts w:ascii="Poppins" w:hAnsi="Poppins" w:cs="Poppins"/>
          <w:sz w:val="24"/>
          <w:szCs w:val="24"/>
        </w:rPr>
        <w:t xml:space="preserve"> – Entwicklungsversion 17 / Stand: 11.06.2021. Vorliegend in veränderter Farbgebung und Darstellung der Skala. Lizenz: </w:t>
      </w:r>
      <w:hyperlink r:id="rId15" w:history="1">
        <w:r w:rsidRPr="00D1021A">
          <w:rPr>
            <w:rStyle w:val="Hyperlink"/>
            <w:rFonts w:ascii="Poppins" w:hAnsi="Poppins" w:cs="Poppins"/>
            <w:sz w:val="24"/>
            <w:szCs w:val="24"/>
          </w:rPr>
          <w:t>CC BY 4.0</w:t>
        </w:r>
      </w:hyperlink>
    </w:p>
    <w:p w14:paraId="085CC88D" w14:textId="77777777" w:rsidR="006416ED" w:rsidRDefault="006416ED" w:rsidP="009B614E">
      <w:pPr>
        <w:spacing w:line="360" w:lineRule="auto"/>
        <w:rPr>
          <w:rFonts w:ascii="Poppins" w:hAnsi="Poppins" w:cs="Poppins"/>
          <w:b/>
          <w:bCs/>
          <w:sz w:val="24"/>
          <w:szCs w:val="24"/>
        </w:rPr>
      </w:pPr>
    </w:p>
    <w:p w14:paraId="0AE0BC2C" w14:textId="0550D089" w:rsidR="00D07821" w:rsidRPr="00D1021A" w:rsidRDefault="00472983" w:rsidP="009B614E">
      <w:pPr>
        <w:spacing w:line="360" w:lineRule="auto"/>
        <w:rPr>
          <w:rFonts w:ascii="Poppins" w:hAnsi="Poppins" w:cs="Poppins"/>
          <w:b/>
          <w:bCs/>
          <w:sz w:val="24"/>
          <w:szCs w:val="24"/>
        </w:rPr>
      </w:pPr>
      <w:r w:rsidRPr="00D1021A">
        <w:rPr>
          <w:rFonts w:ascii="Poppins" w:hAnsi="Poppins" w:cs="Poppins"/>
          <w:b/>
          <w:bCs/>
          <w:sz w:val="24"/>
          <w:szCs w:val="24"/>
        </w:rPr>
        <w:lastRenderedPageBreak/>
        <w:t>Skala: Fachwissenschaftliche Fundierung</w:t>
      </w:r>
      <w:r w:rsidR="00EB58BF" w:rsidRPr="00D1021A">
        <w:rPr>
          <w:rFonts w:ascii="Poppins" w:hAnsi="Poppins" w:cs="Poppins"/>
          <w:b/>
          <w:bCs/>
          <w:sz w:val="24"/>
          <w:szCs w:val="24"/>
        </w:rPr>
        <w:t>:</w:t>
      </w:r>
    </w:p>
    <w:tbl>
      <w:tblPr>
        <w:tblStyle w:val="Tabellenraster"/>
        <w:tblW w:w="0" w:type="auto"/>
        <w:tblLook w:val="04A0" w:firstRow="1" w:lastRow="0" w:firstColumn="1" w:lastColumn="0" w:noHBand="0" w:noVBand="1"/>
      </w:tblPr>
      <w:tblGrid>
        <w:gridCol w:w="562"/>
        <w:gridCol w:w="8328"/>
      </w:tblGrid>
      <w:tr w:rsidR="009F4163" w:rsidRPr="00D1021A" w14:paraId="6E9C81EE" w14:textId="77777777" w:rsidTr="002C4325">
        <w:tc>
          <w:tcPr>
            <w:tcW w:w="562" w:type="dxa"/>
            <w:shd w:val="clear" w:color="auto" w:fill="00B050"/>
          </w:tcPr>
          <w:p w14:paraId="1369B6E0" w14:textId="19D3C29E" w:rsidR="009F4163" w:rsidRPr="00D1021A" w:rsidRDefault="009F4163" w:rsidP="009B614E">
            <w:pPr>
              <w:spacing w:line="360" w:lineRule="auto"/>
              <w:rPr>
                <w:rFonts w:ascii="Poppins" w:hAnsi="Poppins" w:cs="Poppins"/>
                <w:sz w:val="24"/>
                <w:szCs w:val="24"/>
              </w:rPr>
            </w:pPr>
            <w:bookmarkStart w:id="93" w:name="_Hlk176959296"/>
            <w:r w:rsidRPr="00D1021A">
              <w:rPr>
                <w:rFonts w:ascii="Poppins" w:hAnsi="Poppins" w:cs="Poppins"/>
                <w:sz w:val="24"/>
                <w:szCs w:val="24"/>
              </w:rPr>
              <w:t>5</w:t>
            </w:r>
          </w:p>
        </w:tc>
        <w:tc>
          <w:tcPr>
            <w:tcW w:w="8328" w:type="dxa"/>
          </w:tcPr>
          <w:p w14:paraId="5999714D" w14:textId="45B5D234" w:rsidR="009F4163" w:rsidRPr="00D1021A" w:rsidRDefault="009F4163" w:rsidP="009B614E">
            <w:pPr>
              <w:spacing w:line="360" w:lineRule="auto"/>
              <w:rPr>
                <w:rFonts w:ascii="Poppins" w:hAnsi="Poppins" w:cs="Poppins"/>
                <w:sz w:val="24"/>
                <w:szCs w:val="24"/>
              </w:rPr>
            </w:pPr>
            <w:r w:rsidRPr="00D1021A">
              <w:rPr>
                <w:rFonts w:ascii="Poppins" w:hAnsi="Poppins" w:cs="Poppins"/>
                <w:sz w:val="24"/>
                <w:szCs w:val="24"/>
              </w:rPr>
              <w:t>Die Inhalte sind fachwissenschaftlich korrekt, aktuell und relevant. Sie werden</w:t>
            </w:r>
            <w:r w:rsidR="00F71602" w:rsidRPr="00D1021A">
              <w:rPr>
                <w:rFonts w:ascii="Poppins" w:hAnsi="Poppins" w:cs="Poppins"/>
                <w:sz w:val="24"/>
                <w:szCs w:val="24"/>
              </w:rPr>
              <w:t xml:space="preserve"> </w:t>
            </w:r>
            <w:r w:rsidRPr="00D1021A">
              <w:rPr>
                <w:rFonts w:ascii="Poppins" w:hAnsi="Poppins" w:cs="Poppins"/>
                <w:sz w:val="24"/>
                <w:szCs w:val="24"/>
              </w:rPr>
              <w:t>präzise und ausgewogen dargestellt. Es werden durchgängig den</w:t>
            </w:r>
            <w:r w:rsidR="00F71602" w:rsidRPr="00D1021A">
              <w:rPr>
                <w:rFonts w:ascii="Poppins" w:hAnsi="Poppins" w:cs="Poppins"/>
                <w:sz w:val="24"/>
                <w:szCs w:val="24"/>
              </w:rPr>
              <w:t xml:space="preserve"> </w:t>
            </w:r>
            <w:r w:rsidRPr="00D1021A">
              <w:rPr>
                <w:rFonts w:ascii="Poppins" w:hAnsi="Poppins" w:cs="Poppins"/>
                <w:sz w:val="24"/>
                <w:szCs w:val="24"/>
              </w:rPr>
              <w:t>fachwissenschaftlichen Standards entsprechende bibliografische</w:t>
            </w:r>
            <w:r w:rsidR="00F71602" w:rsidRPr="00D1021A">
              <w:rPr>
                <w:rFonts w:ascii="Poppins" w:hAnsi="Poppins" w:cs="Poppins"/>
                <w:sz w:val="24"/>
                <w:szCs w:val="24"/>
              </w:rPr>
              <w:t xml:space="preserve"> </w:t>
            </w:r>
            <w:r w:rsidRPr="00D1021A">
              <w:rPr>
                <w:rFonts w:ascii="Poppins" w:hAnsi="Poppins" w:cs="Poppins"/>
                <w:sz w:val="24"/>
                <w:szCs w:val="24"/>
              </w:rPr>
              <w:t>Literaturquellen angegeben. Die Argumentation ist schlüssig und nachvollziehbar.</w:t>
            </w:r>
          </w:p>
        </w:tc>
      </w:tr>
      <w:tr w:rsidR="009F4163" w:rsidRPr="00D1021A" w14:paraId="6D48510C" w14:textId="77777777" w:rsidTr="002C4325">
        <w:tc>
          <w:tcPr>
            <w:tcW w:w="562" w:type="dxa"/>
            <w:shd w:val="clear" w:color="auto" w:fill="8DD873" w:themeFill="accent6" w:themeFillTint="99"/>
          </w:tcPr>
          <w:p w14:paraId="05317FA6" w14:textId="6BDDF519" w:rsidR="009F4163" w:rsidRPr="00D1021A" w:rsidRDefault="009F4163" w:rsidP="009B614E">
            <w:pPr>
              <w:spacing w:line="360" w:lineRule="auto"/>
              <w:rPr>
                <w:rFonts w:ascii="Poppins" w:hAnsi="Poppins" w:cs="Poppins"/>
                <w:sz w:val="24"/>
                <w:szCs w:val="24"/>
              </w:rPr>
            </w:pPr>
            <w:r w:rsidRPr="00D1021A">
              <w:rPr>
                <w:rFonts w:ascii="Poppins" w:hAnsi="Poppins" w:cs="Poppins"/>
                <w:sz w:val="24"/>
                <w:szCs w:val="24"/>
              </w:rPr>
              <w:t>4</w:t>
            </w:r>
          </w:p>
        </w:tc>
        <w:tc>
          <w:tcPr>
            <w:tcW w:w="8328" w:type="dxa"/>
          </w:tcPr>
          <w:p w14:paraId="56FAC444" w14:textId="7B086112" w:rsidR="009F4163" w:rsidRPr="00D1021A" w:rsidRDefault="009F4163" w:rsidP="009B614E">
            <w:pPr>
              <w:spacing w:line="360" w:lineRule="auto"/>
              <w:rPr>
                <w:rFonts w:ascii="Poppins" w:hAnsi="Poppins" w:cs="Poppins"/>
                <w:sz w:val="24"/>
                <w:szCs w:val="24"/>
              </w:rPr>
            </w:pPr>
            <w:r w:rsidRPr="00D1021A">
              <w:rPr>
                <w:rFonts w:ascii="Poppins" w:hAnsi="Poppins" w:cs="Poppins"/>
                <w:sz w:val="24"/>
                <w:szCs w:val="24"/>
              </w:rPr>
              <w:t>Bildet eine Zwischenstufe ab</w:t>
            </w:r>
          </w:p>
        </w:tc>
      </w:tr>
      <w:tr w:rsidR="009F4163" w:rsidRPr="00D1021A" w14:paraId="28A84E45" w14:textId="77777777" w:rsidTr="002C4325">
        <w:tc>
          <w:tcPr>
            <w:tcW w:w="562" w:type="dxa"/>
            <w:shd w:val="clear" w:color="auto" w:fill="D9F2D0" w:themeFill="accent6" w:themeFillTint="33"/>
          </w:tcPr>
          <w:p w14:paraId="0A5A2C3A" w14:textId="3D10A7C9" w:rsidR="009F4163" w:rsidRPr="00D1021A" w:rsidRDefault="009F4163" w:rsidP="009B614E">
            <w:pPr>
              <w:spacing w:line="360" w:lineRule="auto"/>
              <w:rPr>
                <w:rFonts w:ascii="Poppins" w:hAnsi="Poppins" w:cs="Poppins"/>
                <w:sz w:val="24"/>
                <w:szCs w:val="24"/>
              </w:rPr>
            </w:pPr>
            <w:r w:rsidRPr="00D1021A">
              <w:rPr>
                <w:rFonts w:ascii="Poppins" w:hAnsi="Poppins" w:cs="Poppins"/>
                <w:sz w:val="24"/>
                <w:szCs w:val="24"/>
              </w:rPr>
              <w:t>3</w:t>
            </w:r>
          </w:p>
        </w:tc>
        <w:tc>
          <w:tcPr>
            <w:tcW w:w="8328" w:type="dxa"/>
          </w:tcPr>
          <w:p w14:paraId="405F7214" w14:textId="0B15C5CC" w:rsidR="009F4163" w:rsidRPr="00D1021A" w:rsidRDefault="009F4163" w:rsidP="009B614E">
            <w:pPr>
              <w:spacing w:line="360" w:lineRule="auto"/>
              <w:rPr>
                <w:rFonts w:ascii="Poppins" w:hAnsi="Poppins" w:cs="Poppins"/>
                <w:sz w:val="24"/>
                <w:szCs w:val="24"/>
              </w:rPr>
            </w:pPr>
            <w:r w:rsidRPr="00D1021A">
              <w:rPr>
                <w:rFonts w:ascii="Poppins" w:hAnsi="Poppins" w:cs="Poppins"/>
                <w:sz w:val="24"/>
                <w:szCs w:val="24"/>
              </w:rPr>
              <w:t>Die Inhalte sind fachwissenschaftlich korrekt und relevant. Die Argumentation ist nachvollziehbar. Die Herkunft von Modellen, Methoden und Ansätzen werden meist benannt.</w:t>
            </w:r>
          </w:p>
        </w:tc>
      </w:tr>
      <w:tr w:rsidR="009F4163" w:rsidRPr="00D1021A" w14:paraId="148F5158" w14:textId="77777777" w:rsidTr="002C4325">
        <w:tc>
          <w:tcPr>
            <w:tcW w:w="562" w:type="dxa"/>
            <w:shd w:val="clear" w:color="auto" w:fill="FFFF00"/>
          </w:tcPr>
          <w:p w14:paraId="5BCF8136" w14:textId="43018C7B" w:rsidR="009F4163" w:rsidRPr="00D1021A" w:rsidRDefault="009F4163" w:rsidP="009B614E">
            <w:pPr>
              <w:spacing w:line="360" w:lineRule="auto"/>
              <w:rPr>
                <w:rFonts w:ascii="Poppins" w:hAnsi="Poppins" w:cs="Poppins"/>
                <w:sz w:val="24"/>
                <w:szCs w:val="24"/>
              </w:rPr>
            </w:pPr>
            <w:r w:rsidRPr="00D1021A">
              <w:rPr>
                <w:rFonts w:ascii="Poppins" w:hAnsi="Poppins" w:cs="Poppins"/>
                <w:sz w:val="24"/>
                <w:szCs w:val="24"/>
              </w:rPr>
              <w:t>2</w:t>
            </w:r>
          </w:p>
        </w:tc>
        <w:tc>
          <w:tcPr>
            <w:tcW w:w="8328" w:type="dxa"/>
          </w:tcPr>
          <w:p w14:paraId="429CCDC8" w14:textId="06AE5235" w:rsidR="009F4163" w:rsidRPr="00D1021A" w:rsidRDefault="009F4163" w:rsidP="009B614E">
            <w:pPr>
              <w:spacing w:line="360" w:lineRule="auto"/>
              <w:rPr>
                <w:rFonts w:ascii="Poppins" w:hAnsi="Poppins" w:cs="Poppins"/>
                <w:sz w:val="24"/>
                <w:szCs w:val="24"/>
              </w:rPr>
            </w:pPr>
            <w:r w:rsidRPr="00D1021A">
              <w:rPr>
                <w:rFonts w:ascii="Poppins" w:hAnsi="Poppins" w:cs="Poppins"/>
                <w:sz w:val="24"/>
                <w:szCs w:val="24"/>
              </w:rPr>
              <w:t>Bildet eine Zwischenstufe ab</w:t>
            </w:r>
          </w:p>
        </w:tc>
      </w:tr>
      <w:tr w:rsidR="009F4163" w:rsidRPr="00D1021A" w14:paraId="5EE25CE5" w14:textId="77777777" w:rsidTr="002C4325">
        <w:tc>
          <w:tcPr>
            <w:tcW w:w="562" w:type="dxa"/>
            <w:shd w:val="clear" w:color="auto" w:fill="FF0000"/>
          </w:tcPr>
          <w:p w14:paraId="59304EB8" w14:textId="2D7728F2" w:rsidR="009F4163" w:rsidRPr="00D1021A" w:rsidRDefault="009F4163" w:rsidP="009B614E">
            <w:pPr>
              <w:spacing w:line="360" w:lineRule="auto"/>
              <w:rPr>
                <w:rFonts w:ascii="Poppins" w:hAnsi="Poppins" w:cs="Poppins"/>
                <w:sz w:val="24"/>
                <w:szCs w:val="24"/>
              </w:rPr>
            </w:pPr>
            <w:r w:rsidRPr="00D1021A">
              <w:rPr>
                <w:rFonts w:ascii="Poppins" w:hAnsi="Poppins" w:cs="Poppins"/>
                <w:sz w:val="24"/>
                <w:szCs w:val="24"/>
              </w:rPr>
              <w:t>1</w:t>
            </w:r>
          </w:p>
        </w:tc>
        <w:tc>
          <w:tcPr>
            <w:tcW w:w="8328" w:type="dxa"/>
          </w:tcPr>
          <w:p w14:paraId="2D48DA10" w14:textId="3F07DAFA" w:rsidR="009F4163" w:rsidRPr="00D1021A" w:rsidRDefault="009F4163" w:rsidP="009B614E">
            <w:pPr>
              <w:spacing w:line="360" w:lineRule="auto"/>
              <w:rPr>
                <w:rFonts w:ascii="Poppins" w:hAnsi="Poppins" w:cs="Poppins"/>
                <w:sz w:val="24"/>
                <w:szCs w:val="24"/>
              </w:rPr>
            </w:pPr>
            <w:r w:rsidRPr="00D1021A">
              <w:rPr>
                <w:rFonts w:ascii="Poppins" w:hAnsi="Poppins" w:cs="Poppins"/>
                <w:sz w:val="24"/>
                <w:szCs w:val="24"/>
              </w:rPr>
              <w:t>Die Inhalte haben keinen erkennbaren Bezug zu Forschungsergebnissen. Die zugrundeliegenden Methoden und Ansätze werden entweder gar nicht dargestellt oder aber ohne Hinweise auf ihre Herkunft.</w:t>
            </w:r>
          </w:p>
        </w:tc>
      </w:tr>
      <w:bookmarkEnd w:id="93"/>
    </w:tbl>
    <w:p w14:paraId="2957A466" w14:textId="77777777" w:rsidR="00FE4696" w:rsidRPr="00D1021A" w:rsidRDefault="00FE4696" w:rsidP="009B614E">
      <w:pPr>
        <w:spacing w:line="360" w:lineRule="auto"/>
        <w:rPr>
          <w:rFonts w:ascii="Poppins" w:hAnsi="Poppins" w:cs="Poppins"/>
          <w:sz w:val="20"/>
          <w:szCs w:val="20"/>
        </w:rPr>
      </w:pPr>
    </w:p>
    <w:p w14:paraId="26714B36" w14:textId="77777777" w:rsidR="00FE4696" w:rsidRPr="00D1021A" w:rsidRDefault="00FE4696" w:rsidP="009B614E">
      <w:pPr>
        <w:spacing w:line="360" w:lineRule="auto"/>
        <w:rPr>
          <w:rFonts w:ascii="Poppins" w:hAnsi="Poppins" w:cs="Poppins"/>
          <w:sz w:val="20"/>
          <w:szCs w:val="20"/>
        </w:rPr>
      </w:pPr>
    </w:p>
    <w:p w14:paraId="069B1F18" w14:textId="224AB0E7" w:rsidR="009F4163" w:rsidRPr="00D1021A" w:rsidRDefault="009F4163" w:rsidP="009B614E">
      <w:pPr>
        <w:spacing w:line="360" w:lineRule="auto"/>
        <w:rPr>
          <w:rFonts w:ascii="Poppins" w:hAnsi="Poppins" w:cs="Poppins"/>
          <w:b/>
          <w:bCs/>
          <w:sz w:val="24"/>
          <w:szCs w:val="24"/>
        </w:rPr>
      </w:pPr>
      <w:r w:rsidRPr="00D1021A">
        <w:rPr>
          <w:rFonts w:ascii="Poppins" w:hAnsi="Poppins" w:cs="Poppins"/>
          <w:b/>
          <w:bCs/>
          <w:sz w:val="24"/>
          <w:szCs w:val="24"/>
        </w:rPr>
        <w:t>Items: Fachwissenschaftliche Fundierung</w:t>
      </w:r>
    </w:p>
    <w:p w14:paraId="7DFED741" w14:textId="331F3E66" w:rsidR="009F4163" w:rsidRPr="00D1021A" w:rsidRDefault="009F4163" w:rsidP="009B614E">
      <w:pPr>
        <w:spacing w:line="360" w:lineRule="auto"/>
        <w:rPr>
          <w:rFonts w:ascii="Poppins" w:eastAsia="Aptos" w:hAnsi="Poppins" w:cs="Poppins"/>
          <w:i/>
          <w:iCs/>
          <w:color w:val="000000" w:themeColor="text1"/>
          <w:sz w:val="24"/>
          <w:szCs w:val="24"/>
        </w:rPr>
      </w:pPr>
      <w:r w:rsidRPr="00D1021A">
        <w:rPr>
          <w:rFonts w:ascii="Poppins" w:hAnsi="Poppins" w:cs="Poppins"/>
          <w:sz w:val="24"/>
          <w:szCs w:val="24"/>
        </w:rPr>
        <w:t xml:space="preserve">Die </w:t>
      </w:r>
      <w:r w:rsidR="00F71602" w:rsidRPr="00D1021A">
        <w:rPr>
          <w:rFonts w:ascii="Poppins" w:hAnsi="Poppins" w:cs="Poppins"/>
          <w:sz w:val="24"/>
          <w:szCs w:val="24"/>
        </w:rPr>
        <w:t>e</w:t>
      </w:r>
      <w:r w:rsidRPr="00D1021A">
        <w:rPr>
          <w:rFonts w:ascii="Poppins" w:hAnsi="Poppins" w:cs="Poppins"/>
          <w:sz w:val="24"/>
          <w:szCs w:val="24"/>
        </w:rPr>
        <w:t xml:space="preserve">inzelnen Aussagen </w:t>
      </w:r>
      <w:r w:rsidR="003227A9" w:rsidRPr="00D1021A">
        <w:rPr>
          <w:rFonts w:ascii="Poppins" w:hAnsi="Poppins" w:cs="Poppins"/>
          <w:sz w:val="24"/>
          <w:szCs w:val="24"/>
        </w:rPr>
        <w:t xml:space="preserve">werden mithilfe einer </w:t>
      </w:r>
      <w:r w:rsidR="003227A9" w:rsidRPr="00D1021A">
        <w:rPr>
          <w:rFonts w:ascii="Poppins" w:eastAsia="Aptos" w:hAnsi="Poppins" w:cs="Poppins"/>
          <w:color w:val="000000" w:themeColor="text1"/>
          <w:sz w:val="24"/>
          <w:szCs w:val="24"/>
        </w:rPr>
        <w:t xml:space="preserve">fünfstufige Likert-Skala bewertet: </w:t>
      </w:r>
      <w:r w:rsidR="003227A9" w:rsidRPr="00D1021A">
        <w:rPr>
          <w:rFonts w:ascii="Poppins" w:eastAsia="Aptos" w:hAnsi="Poppins" w:cs="Poppins"/>
          <w:i/>
          <w:iCs/>
          <w:color w:val="000000" w:themeColor="text1"/>
          <w:sz w:val="24"/>
          <w:szCs w:val="24"/>
        </w:rPr>
        <w:t xml:space="preserve">trifft überhaupt nicht zu, trifft eher nicht zu, trifft mittelmäßig zu, trifft eher zu, trifft </w:t>
      </w:r>
      <w:proofErr w:type="gramStart"/>
      <w:r w:rsidR="003227A9" w:rsidRPr="00D1021A">
        <w:rPr>
          <w:rFonts w:ascii="Poppins" w:eastAsia="Aptos" w:hAnsi="Poppins" w:cs="Poppins"/>
          <w:i/>
          <w:iCs/>
          <w:color w:val="000000" w:themeColor="text1"/>
          <w:sz w:val="24"/>
          <w:szCs w:val="24"/>
        </w:rPr>
        <w:t xml:space="preserve">voll und ganz </w:t>
      </w:r>
      <w:proofErr w:type="gramEnd"/>
      <w:r w:rsidR="003227A9" w:rsidRPr="00D1021A">
        <w:rPr>
          <w:rFonts w:ascii="Poppins" w:eastAsia="Aptos" w:hAnsi="Poppins" w:cs="Poppins"/>
          <w:i/>
          <w:iCs/>
          <w:color w:val="000000" w:themeColor="text1"/>
          <w:sz w:val="24"/>
          <w:szCs w:val="24"/>
        </w:rPr>
        <w:t>zu</w:t>
      </w:r>
      <w:r w:rsidR="003227A9" w:rsidRPr="00D1021A">
        <w:rPr>
          <w:rFonts w:ascii="Poppins" w:eastAsia="Aptos" w:hAnsi="Poppins" w:cs="Poppins"/>
          <w:color w:val="000000" w:themeColor="text1"/>
          <w:sz w:val="24"/>
          <w:szCs w:val="24"/>
        </w:rPr>
        <w:t xml:space="preserve"> und </w:t>
      </w:r>
      <w:r w:rsidR="003227A9" w:rsidRPr="00D1021A">
        <w:rPr>
          <w:rFonts w:ascii="Poppins" w:eastAsia="Aptos" w:hAnsi="Poppins" w:cs="Poppins"/>
          <w:i/>
          <w:iCs/>
          <w:color w:val="000000" w:themeColor="text1"/>
          <w:sz w:val="24"/>
          <w:szCs w:val="24"/>
        </w:rPr>
        <w:t>Bewertung nicht möglich.</w:t>
      </w:r>
    </w:p>
    <w:tbl>
      <w:tblPr>
        <w:tblStyle w:val="Tabellenraster"/>
        <w:tblW w:w="0" w:type="auto"/>
        <w:tblLook w:val="04A0" w:firstRow="1" w:lastRow="0" w:firstColumn="1" w:lastColumn="0" w:noHBand="0" w:noVBand="1"/>
      </w:tblPr>
      <w:tblGrid>
        <w:gridCol w:w="5807"/>
        <w:gridCol w:w="3083"/>
      </w:tblGrid>
      <w:tr w:rsidR="003227A9" w:rsidRPr="00D1021A" w14:paraId="1822384C" w14:textId="77777777" w:rsidTr="003227A9">
        <w:tc>
          <w:tcPr>
            <w:tcW w:w="5807" w:type="dxa"/>
          </w:tcPr>
          <w:p w14:paraId="5752FEF1" w14:textId="68F16757" w:rsidR="003227A9" w:rsidRPr="00D1021A" w:rsidRDefault="003227A9" w:rsidP="00F4227D">
            <w:pPr>
              <w:pStyle w:val="Listenabsatz"/>
              <w:numPr>
                <w:ilvl w:val="0"/>
                <w:numId w:val="12"/>
              </w:numPr>
              <w:spacing w:line="360" w:lineRule="auto"/>
              <w:rPr>
                <w:rFonts w:ascii="Poppins" w:hAnsi="Poppins" w:cs="Poppins"/>
                <w:sz w:val="24"/>
                <w:szCs w:val="24"/>
              </w:rPr>
            </w:pPr>
            <w:r w:rsidRPr="00D1021A">
              <w:rPr>
                <w:rFonts w:ascii="Poppins" w:hAnsi="Poppins" w:cs="Poppins"/>
                <w:sz w:val="24"/>
                <w:szCs w:val="24"/>
              </w:rPr>
              <w:t xml:space="preserve">In der OER werden durchgängig den fachwissenschaftlichen Standards </w:t>
            </w:r>
            <w:r w:rsidRPr="00D1021A">
              <w:rPr>
                <w:rFonts w:ascii="Poppins" w:hAnsi="Poppins" w:cs="Poppins"/>
                <w:sz w:val="24"/>
                <w:szCs w:val="24"/>
              </w:rPr>
              <w:lastRenderedPageBreak/>
              <w:t>entsprechende bibliografische Literaturquellen angegeben.</w:t>
            </w:r>
          </w:p>
        </w:tc>
        <w:tc>
          <w:tcPr>
            <w:tcW w:w="3083" w:type="dxa"/>
          </w:tcPr>
          <w:p w14:paraId="260B3CA4" w14:textId="0D4C2774" w:rsidR="003227A9" w:rsidRPr="00D1021A" w:rsidRDefault="003227A9" w:rsidP="009B614E">
            <w:pPr>
              <w:spacing w:line="360" w:lineRule="auto"/>
              <w:rPr>
                <w:rFonts w:ascii="Poppins" w:hAnsi="Poppins" w:cs="Poppins"/>
                <w:sz w:val="24"/>
                <w:szCs w:val="24"/>
              </w:rPr>
            </w:pPr>
            <w:r w:rsidRPr="00D1021A">
              <w:rPr>
                <w:rFonts w:ascii="Poppins" w:hAnsi="Poppins" w:cs="Poppins"/>
                <w:sz w:val="24"/>
                <w:szCs w:val="24"/>
              </w:rPr>
              <w:lastRenderedPageBreak/>
              <w:t>Hier entsprechend der fünfstufigen Skala bewerten.</w:t>
            </w:r>
          </w:p>
        </w:tc>
      </w:tr>
      <w:tr w:rsidR="003227A9" w:rsidRPr="00D1021A" w14:paraId="316C3FCD" w14:textId="77777777" w:rsidTr="003227A9">
        <w:tc>
          <w:tcPr>
            <w:tcW w:w="5807" w:type="dxa"/>
          </w:tcPr>
          <w:p w14:paraId="73D6717B" w14:textId="3B3CEA27" w:rsidR="003227A9" w:rsidRPr="00D1021A" w:rsidRDefault="00A60F63" w:rsidP="00F4227D">
            <w:pPr>
              <w:pStyle w:val="Listenabsatz"/>
              <w:numPr>
                <w:ilvl w:val="0"/>
                <w:numId w:val="12"/>
              </w:numPr>
              <w:spacing w:line="360" w:lineRule="auto"/>
              <w:rPr>
                <w:rFonts w:ascii="Poppins" w:hAnsi="Poppins" w:cs="Poppins"/>
                <w:sz w:val="24"/>
                <w:szCs w:val="24"/>
              </w:rPr>
            </w:pPr>
            <w:r w:rsidRPr="00D1021A">
              <w:rPr>
                <w:rFonts w:ascii="Poppins" w:hAnsi="Poppins" w:cs="Poppins"/>
                <w:sz w:val="24"/>
                <w:szCs w:val="24"/>
              </w:rPr>
              <w:t>Die Herkunft von Modellen, Methoden und Ansätzen wird in der OER klar benannt.</w:t>
            </w:r>
          </w:p>
        </w:tc>
        <w:tc>
          <w:tcPr>
            <w:tcW w:w="3083" w:type="dxa"/>
          </w:tcPr>
          <w:p w14:paraId="04CC6C88" w14:textId="77777777" w:rsidR="003227A9" w:rsidRPr="00D1021A" w:rsidRDefault="003227A9" w:rsidP="009B614E">
            <w:pPr>
              <w:spacing w:line="360" w:lineRule="auto"/>
              <w:rPr>
                <w:rFonts w:ascii="Poppins" w:hAnsi="Poppins" w:cs="Poppins"/>
                <w:sz w:val="24"/>
                <w:szCs w:val="24"/>
              </w:rPr>
            </w:pPr>
          </w:p>
        </w:tc>
      </w:tr>
      <w:tr w:rsidR="003227A9" w:rsidRPr="00D1021A" w14:paraId="3EC9F1C9" w14:textId="77777777" w:rsidTr="003227A9">
        <w:tc>
          <w:tcPr>
            <w:tcW w:w="5807" w:type="dxa"/>
          </w:tcPr>
          <w:p w14:paraId="20D85D43" w14:textId="39388BC1" w:rsidR="003227A9" w:rsidRPr="00D1021A" w:rsidRDefault="00A60F63" w:rsidP="00F4227D">
            <w:pPr>
              <w:pStyle w:val="Listenabsatz"/>
              <w:numPr>
                <w:ilvl w:val="0"/>
                <w:numId w:val="12"/>
              </w:numPr>
              <w:spacing w:line="360" w:lineRule="auto"/>
              <w:rPr>
                <w:rFonts w:ascii="Poppins" w:hAnsi="Poppins" w:cs="Poppins"/>
                <w:sz w:val="24"/>
                <w:szCs w:val="24"/>
              </w:rPr>
            </w:pPr>
            <w:r w:rsidRPr="00D1021A">
              <w:rPr>
                <w:rFonts w:ascii="Poppins" w:hAnsi="Poppins" w:cs="Poppins"/>
                <w:sz w:val="24"/>
                <w:szCs w:val="24"/>
              </w:rPr>
              <w:t>Die Inhalte sind aktuell, korrekt und relevant.</w:t>
            </w:r>
          </w:p>
        </w:tc>
        <w:tc>
          <w:tcPr>
            <w:tcW w:w="3083" w:type="dxa"/>
          </w:tcPr>
          <w:p w14:paraId="277E9940" w14:textId="77777777" w:rsidR="003227A9" w:rsidRPr="00D1021A" w:rsidRDefault="003227A9" w:rsidP="009B614E">
            <w:pPr>
              <w:spacing w:line="360" w:lineRule="auto"/>
              <w:rPr>
                <w:rFonts w:ascii="Poppins" w:hAnsi="Poppins" w:cs="Poppins"/>
                <w:sz w:val="24"/>
                <w:szCs w:val="24"/>
              </w:rPr>
            </w:pPr>
          </w:p>
        </w:tc>
      </w:tr>
      <w:tr w:rsidR="003227A9" w:rsidRPr="00D1021A" w14:paraId="000D6B1B" w14:textId="77777777" w:rsidTr="003227A9">
        <w:tc>
          <w:tcPr>
            <w:tcW w:w="5807" w:type="dxa"/>
          </w:tcPr>
          <w:p w14:paraId="644D7513" w14:textId="420F79BA" w:rsidR="003227A9" w:rsidRPr="00D1021A" w:rsidRDefault="00A60F63" w:rsidP="00F4227D">
            <w:pPr>
              <w:pStyle w:val="Listenabsatz"/>
              <w:numPr>
                <w:ilvl w:val="0"/>
                <w:numId w:val="12"/>
              </w:numPr>
              <w:spacing w:line="360" w:lineRule="auto"/>
              <w:rPr>
                <w:rFonts w:ascii="Poppins" w:hAnsi="Poppins" w:cs="Poppins"/>
                <w:sz w:val="24"/>
                <w:szCs w:val="24"/>
              </w:rPr>
            </w:pPr>
            <w:r w:rsidRPr="00D1021A">
              <w:rPr>
                <w:rFonts w:ascii="Poppins" w:hAnsi="Poppins" w:cs="Poppins"/>
                <w:sz w:val="24"/>
                <w:szCs w:val="24"/>
              </w:rPr>
              <w:t>Die Argumentation in den Materialien ist schlüssig und nachvollziehbar.</w:t>
            </w:r>
          </w:p>
        </w:tc>
        <w:tc>
          <w:tcPr>
            <w:tcW w:w="3083" w:type="dxa"/>
          </w:tcPr>
          <w:p w14:paraId="0A913791" w14:textId="77777777" w:rsidR="003227A9" w:rsidRPr="00D1021A" w:rsidRDefault="003227A9" w:rsidP="009B614E">
            <w:pPr>
              <w:spacing w:line="360" w:lineRule="auto"/>
              <w:rPr>
                <w:rFonts w:ascii="Poppins" w:hAnsi="Poppins" w:cs="Poppins"/>
                <w:sz w:val="24"/>
                <w:szCs w:val="24"/>
              </w:rPr>
            </w:pPr>
          </w:p>
        </w:tc>
      </w:tr>
      <w:tr w:rsidR="003227A9" w:rsidRPr="00D1021A" w14:paraId="257BF446" w14:textId="77777777" w:rsidTr="003227A9">
        <w:tc>
          <w:tcPr>
            <w:tcW w:w="5807" w:type="dxa"/>
          </w:tcPr>
          <w:p w14:paraId="1DD28B7B" w14:textId="6803713B" w:rsidR="003227A9" w:rsidRPr="00D1021A" w:rsidRDefault="00F71602" w:rsidP="00F4227D">
            <w:pPr>
              <w:pStyle w:val="Listenabsatz"/>
              <w:numPr>
                <w:ilvl w:val="0"/>
                <w:numId w:val="12"/>
              </w:numPr>
              <w:spacing w:line="360" w:lineRule="auto"/>
              <w:rPr>
                <w:rFonts w:ascii="Poppins" w:hAnsi="Poppins" w:cs="Poppins"/>
                <w:sz w:val="24"/>
                <w:szCs w:val="24"/>
              </w:rPr>
            </w:pPr>
            <w:r w:rsidRPr="00D1021A">
              <w:rPr>
                <w:rFonts w:ascii="Poppins" w:hAnsi="Poppins" w:cs="Poppins"/>
                <w:sz w:val="24"/>
                <w:szCs w:val="24"/>
              </w:rPr>
              <w:t>Die Darstellung der Inhalte ist präzise und ausgewogen.</w:t>
            </w:r>
          </w:p>
        </w:tc>
        <w:tc>
          <w:tcPr>
            <w:tcW w:w="3083" w:type="dxa"/>
          </w:tcPr>
          <w:p w14:paraId="313DA8A8" w14:textId="77777777" w:rsidR="003227A9" w:rsidRPr="00D1021A" w:rsidRDefault="003227A9" w:rsidP="009B614E">
            <w:pPr>
              <w:spacing w:line="360" w:lineRule="auto"/>
              <w:rPr>
                <w:rFonts w:ascii="Poppins" w:hAnsi="Poppins" w:cs="Poppins"/>
                <w:sz w:val="24"/>
                <w:szCs w:val="24"/>
              </w:rPr>
            </w:pPr>
          </w:p>
        </w:tc>
      </w:tr>
    </w:tbl>
    <w:p w14:paraId="6C1EB566" w14:textId="77777777" w:rsidR="003227A9" w:rsidRPr="00D1021A" w:rsidRDefault="003227A9" w:rsidP="009B614E">
      <w:pPr>
        <w:spacing w:line="360" w:lineRule="auto"/>
        <w:rPr>
          <w:rFonts w:ascii="Poppins" w:hAnsi="Poppins" w:cs="Poppins"/>
          <w:sz w:val="24"/>
          <w:szCs w:val="24"/>
        </w:rPr>
      </w:pPr>
    </w:p>
    <w:p w14:paraId="287B950F" w14:textId="32E267D6" w:rsidR="008E46E1" w:rsidRPr="00D1021A" w:rsidRDefault="008E46E1" w:rsidP="009B614E">
      <w:pPr>
        <w:pStyle w:val="berschrift3"/>
        <w:rPr>
          <w:rFonts w:ascii="Poppins" w:hAnsi="Poppins" w:cs="Poppins"/>
        </w:rPr>
      </w:pPr>
      <w:bookmarkStart w:id="94" w:name="_Toc177037318"/>
      <w:r w:rsidRPr="00D1021A">
        <w:rPr>
          <w:rFonts w:ascii="Poppins" w:hAnsi="Poppins" w:cs="Poppins"/>
        </w:rPr>
        <w:t>CC-Lizenz</w:t>
      </w:r>
      <w:bookmarkEnd w:id="94"/>
    </w:p>
    <w:p w14:paraId="32B64BF1" w14:textId="74E324E7" w:rsidR="00095D0D" w:rsidRPr="00D1021A" w:rsidRDefault="00095D0D" w:rsidP="009B614E">
      <w:pPr>
        <w:spacing w:line="360" w:lineRule="auto"/>
        <w:rPr>
          <w:rFonts w:ascii="Poppins" w:hAnsi="Poppins" w:cs="Poppins"/>
          <w:sz w:val="24"/>
          <w:szCs w:val="24"/>
        </w:rPr>
      </w:pPr>
      <w:r w:rsidRPr="00D1021A">
        <w:rPr>
          <w:rFonts w:ascii="Poppins" w:hAnsi="Poppins" w:cs="Poppins"/>
          <w:sz w:val="24"/>
          <w:szCs w:val="24"/>
        </w:rPr>
        <w:t xml:space="preserve">Alle Inhalte, die auf der Website der HOOU eingestellt werden, werden unter einer offenen Lizenz zur Verfügung gestellt und sollen somit die Nutzung, Veränderung und die Weitergabe an Dritte erlauben. </w:t>
      </w:r>
      <w:r w:rsidR="007E4FC9" w:rsidRPr="00D1021A">
        <w:rPr>
          <w:rFonts w:ascii="Poppins" w:hAnsi="Poppins" w:cs="Poppins"/>
          <w:sz w:val="24"/>
          <w:szCs w:val="24"/>
        </w:rPr>
        <w:t>Die Umsetzung der CC-Lizenz wird wie folgt eingeordnet</w:t>
      </w:r>
      <w:r w:rsidR="008A65E6" w:rsidRPr="00D1021A">
        <w:rPr>
          <w:rFonts w:ascii="Poppins" w:hAnsi="Poppins" w:cs="Poppins"/>
          <w:sz w:val="24"/>
          <w:szCs w:val="24"/>
        </w:rPr>
        <w:t>.</w:t>
      </w:r>
    </w:p>
    <w:p w14:paraId="6C036D5C" w14:textId="1E62A7E4" w:rsidR="00F71602" w:rsidRPr="00D1021A" w:rsidRDefault="00F71602" w:rsidP="009B614E">
      <w:pPr>
        <w:spacing w:line="360" w:lineRule="auto"/>
        <w:rPr>
          <w:rFonts w:ascii="Poppins" w:hAnsi="Poppins" w:cs="Poppins"/>
          <w:b/>
          <w:bCs/>
          <w:sz w:val="24"/>
          <w:szCs w:val="24"/>
        </w:rPr>
      </w:pPr>
      <w:r w:rsidRPr="00D1021A">
        <w:rPr>
          <w:rFonts w:ascii="Poppins" w:hAnsi="Poppins" w:cs="Poppins"/>
          <w:b/>
          <w:bCs/>
          <w:sz w:val="24"/>
          <w:szCs w:val="24"/>
        </w:rPr>
        <w:t>Skala: CC-Lizenz</w:t>
      </w:r>
    </w:p>
    <w:tbl>
      <w:tblPr>
        <w:tblStyle w:val="Tabellenraster"/>
        <w:tblW w:w="8890" w:type="dxa"/>
        <w:tblLook w:val="04A0" w:firstRow="1" w:lastRow="0" w:firstColumn="1" w:lastColumn="0" w:noHBand="0" w:noVBand="1"/>
      </w:tblPr>
      <w:tblGrid>
        <w:gridCol w:w="562"/>
        <w:gridCol w:w="8328"/>
      </w:tblGrid>
      <w:tr w:rsidR="00F71602" w:rsidRPr="00D1021A" w14:paraId="0439F0DA" w14:textId="77777777" w:rsidTr="00F7351E">
        <w:tc>
          <w:tcPr>
            <w:tcW w:w="562" w:type="dxa"/>
            <w:shd w:val="clear" w:color="auto" w:fill="4EA72E" w:themeFill="accent6"/>
          </w:tcPr>
          <w:p w14:paraId="77BC680F" w14:textId="0D7C2518" w:rsidR="00F71602" w:rsidRPr="00D1021A" w:rsidRDefault="00F71602" w:rsidP="00F71602">
            <w:pPr>
              <w:spacing w:line="360" w:lineRule="auto"/>
              <w:rPr>
                <w:rFonts w:ascii="Poppins" w:hAnsi="Poppins" w:cs="Poppins"/>
              </w:rPr>
            </w:pPr>
            <w:r w:rsidRPr="00D1021A">
              <w:rPr>
                <w:rFonts w:ascii="Poppins" w:hAnsi="Poppins" w:cs="Poppins"/>
                <w:sz w:val="24"/>
                <w:szCs w:val="24"/>
              </w:rPr>
              <w:t>5</w:t>
            </w:r>
          </w:p>
        </w:tc>
        <w:tc>
          <w:tcPr>
            <w:tcW w:w="8328" w:type="dxa"/>
          </w:tcPr>
          <w:p w14:paraId="17A66598" w14:textId="27327077" w:rsidR="00F71602" w:rsidRPr="00D1021A" w:rsidRDefault="00F71602" w:rsidP="00F71602">
            <w:pPr>
              <w:spacing w:line="360" w:lineRule="auto"/>
              <w:rPr>
                <w:rFonts w:ascii="Poppins" w:hAnsi="Poppins" w:cs="Poppins"/>
                <w:sz w:val="24"/>
                <w:szCs w:val="24"/>
              </w:rPr>
            </w:pPr>
            <w:r w:rsidRPr="00D1021A">
              <w:rPr>
                <w:rFonts w:ascii="Poppins" w:hAnsi="Poppins" w:cs="Poppins"/>
                <w:sz w:val="24"/>
                <w:szCs w:val="24"/>
              </w:rPr>
              <w:t>Die Ressource enthält die Angabe einer CC-Lizenz. Die Ressource ist ohne Beschränkungen (z.B. Anmeldungs- oder Kostenpflicht) frei nutzbar. Die Ressource kann ohne technische Hindernisse heruntergeladen und auch offline genutzt werden.</w:t>
            </w:r>
          </w:p>
        </w:tc>
      </w:tr>
      <w:tr w:rsidR="00F71602" w:rsidRPr="00D1021A" w14:paraId="1341FFF5" w14:textId="77777777" w:rsidTr="00F7351E">
        <w:tc>
          <w:tcPr>
            <w:tcW w:w="562" w:type="dxa"/>
            <w:shd w:val="clear" w:color="auto" w:fill="8DD873" w:themeFill="accent6" w:themeFillTint="99"/>
          </w:tcPr>
          <w:p w14:paraId="636115C0" w14:textId="6EA7CC54" w:rsidR="00F71602" w:rsidRPr="00D1021A" w:rsidRDefault="00F71602" w:rsidP="00F71602">
            <w:pPr>
              <w:spacing w:line="360" w:lineRule="auto"/>
              <w:rPr>
                <w:rFonts w:ascii="Poppins" w:hAnsi="Poppins" w:cs="Poppins"/>
              </w:rPr>
            </w:pPr>
            <w:r w:rsidRPr="00D1021A">
              <w:rPr>
                <w:rFonts w:ascii="Poppins" w:hAnsi="Poppins" w:cs="Poppins"/>
                <w:sz w:val="24"/>
                <w:szCs w:val="24"/>
              </w:rPr>
              <w:t>4</w:t>
            </w:r>
          </w:p>
        </w:tc>
        <w:tc>
          <w:tcPr>
            <w:tcW w:w="8328" w:type="dxa"/>
          </w:tcPr>
          <w:p w14:paraId="3DD99005" w14:textId="4F906703" w:rsidR="00F71602" w:rsidRPr="00D1021A" w:rsidRDefault="00F71602" w:rsidP="00F71602">
            <w:pPr>
              <w:spacing w:line="360" w:lineRule="auto"/>
              <w:rPr>
                <w:rFonts w:ascii="Poppins" w:hAnsi="Poppins" w:cs="Poppins"/>
              </w:rPr>
            </w:pPr>
            <w:r w:rsidRPr="00D1021A">
              <w:rPr>
                <w:rFonts w:ascii="Poppins" w:hAnsi="Poppins" w:cs="Poppins"/>
                <w:sz w:val="24"/>
                <w:szCs w:val="24"/>
              </w:rPr>
              <w:t>Bildet eine Zwischenstufe ab</w:t>
            </w:r>
          </w:p>
        </w:tc>
      </w:tr>
      <w:tr w:rsidR="00F71602" w:rsidRPr="00D1021A" w14:paraId="20A40E8F" w14:textId="77777777" w:rsidTr="00F7351E">
        <w:tc>
          <w:tcPr>
            <w:tcW w:w="562" w:type="dxa"/>
            <w:shd w:val="clear" w:color="auto" w:fill="D9F2D0" w:themeFill="accent6" w:themeFillTint="33"/>
          </w:tcPr>
          <w:p w14:paraId="07B5FA17" w14:textId="36569EB7" w:rsidR="00F71602" w:rsidRPr="00D1021A" w:rsidRDefault="00F71602" w:rsidP="00F71602">
            <w:pPr>
              <w:spacing w:line="360" w:lineRule="auto"/>
              <w:rPr>
                <w:rFonts w:ascii="Poppins" w:hAnsi="Poppins" w:cs="Poppins"/>
              </w:rPr>
            </w:pPr>
            <w:r w:rsidRPr="00D1021A">
              <w:rPr>
                <w:rFonts w:ascii="Poppins" w:hAnsi="Poppins" w:cs="Poppins"/>
                <w:sz w:val="24"/>
                <w:szCs w:val="24"/>
              </w:rPr>
              <w:t>3</w:t>
            </w:r>
          </w:p>
        </w:tc>
        <w:tc>
          <w:tcPr>
            <w:tcW w:w="8328" w:type="dxa"/>
          </w:tcPr>
          <w:p w14:paraId="6605089B" w14:textId="475683F4" w:rsidR="00F71602" w:rsidRPr="00D1021A" w:rsidRDefault="00F71602" w:rsidP="00F71602">
            <w:pPr>
              <w:spacing w:line="360" w:lineRule="auto"/>
              <w:rPr>
                <w:rFonts w:ascii="Poppins" w:hAnsi="Poppins" w:cs="Poppins"/>
                <w:sz w:val="24"/>
                <w:szCs w:val="24"/>
              </w:rPr>
            </w:pPr>
            <w:r w:rsidRPr="00D1021A">
              <w:rPr>
                <w:rFonts w:ascii="Poppins" w:hAnsi="Poppins" w:cs="Poppins"/>
                <w:sz w:val="24"/>
                <w:szCs w:val="24"/>
              </w:rPr>
              <w:t>Die Ressource ist ohne Beschränkungen (z. B. Anmeldungs- oder Kostenpflicht) online frei nutzbar.</w:t>
            </w:r>
          </w:p>
        </w:tc>
      </w:tr>
      <w:tr w:rsidR="00F71602" w:rsidRPr="00D1021A" w14:paraId="0892C6F6" w14:textId="77777777" w:rsidTr="00F7351E">
        <w:tc>
          <w:tcPr>
            <w:tcW w:w="562" w:type="dxa"/>
            <w:shd w:val="clear" w:color="auto" w:fill="FFFF00"/>
          </w:tcPr>
          <w:p w14:paraId="412CACDF" w14:textId="3413910C" w:rsidR="00F71602" w:rsidRPr="00D1021A" w:rsidRDefault="00F71602" w:rsidP="00F71602">
            <w:pPr>
              <w:spacing w:line="360" w:lineRule="auto"/>
              <w:rPr>
                <w:rFonts w:ascii="Poppins" w:hAnsi="Poppins" w:cs="Poppins"/>
              </w:rPr>
            </w:pPr>
            <w:r w:rsidRPr="00D1021A">
              <w:rPr>
                <w:rFonts w:ascii="Poppins" w:hAnsi="Poppins" w:cs="Poppins"/>
                <w:sz w:val="24"/>
                <w:szCs w:val="24"/>
              </w:rPr>
              <w:lastRenderedPageBreak/>
              <w:t>2</w:t>
            </w:r>
          </w:p>
        </w:tc>
        <w:tc>
          <w:tcPr>
            <w:tcW w:w="8328" w:type="dxa"/>
          </w:tcPr>
          <w:p w14:paraId="50CF39D2" w14:textId="71CCD0E1" w:rsidR="00F71602" w:rsidRPr="00D1021A" w:rsidRDefault="00F71602" w:rsidP="00F71602">
            <w:pPr>
              <w:spacing w:line="360" w:lineRule="auto"/>
              <w:rPr>
                <w:rFonts w:ascii="Poppins" w:hAnsi="Poppins" w:cs="Poppins"/>
              </w:rPr>
            </w:pPr>
            <w:r w:rsidRPr="00D1021A">
              <w:rPr>
                <w:rFonts w:ascii="Poppins" w:hAnsi="Poppins" w:cs="Poppins"/>
                <w:sz w:val="24"/>
                <w:szCs w:val="24"/>
              </w:rPr>
              <w:t>Bildet eine Zwischenstufe ab</w:t>
            </w:r>
          </w:p>
        </w:tc>
      </w:tr>
      <w:tr w:rsidR="00F71602" w:rsidRPr="00D1021A" w14:paraId="3FC4ADEC" w14:textId="77777777" w:rsidTr="00F7351E">
        <w:tc>
          <w:tcPr>
            <w:tcW w:w="562" w:type="dxa"/>
            <w:shd w:val="clear" w:color="auto" w:fill="FF0000"/>
          </w:tcPr>
          <w:p w14:paraId="55C6E9FC" w14:textId="6DB04688" w:rsidR="00F71602" w:rsidRPr="00D1021A" w:rsidRDefault="00F71602" w:rsidP="00F71602">
            <w:pPr>
              <w:spacing w:line="360" w:lineRule="auto"/>
              <w:rPr>
                <w:rFonts w:ascii="Poppins" w:hAnsi="Poppins" w:cs="Poppins"/>
              </w:rPr>
            </w:pPr>
            <w:r w:rsidRPr="00D1021A">
              <w:rPr>
                <w:rFonts w:ascii="Poppins" w:hAnsi="Poppins" w:cs="Poppins"/>
                <w:sz w:val="24"/>
                <w:szCs w:val="24"/>
              </w:rPr>
              <w:t>1</w:t>
            </w:r>
          </w:p>
        </w:tc>
        <w:tc>
          <w:tcPr>
            <w:tcW w:w="8328" w:type="dxa"/>
          </w:tcPr>
          <w:p w14:paraId="01E77F39" w14:textId="7FBEF254" w:rsidR="00F71602" w:rsidRPr="00D1021A" w:rsidRDefault="00F71602" w:rsidP="00F71602">
            <w:pPr>
              <w:spacing w:line="360" w:lineRule="auto"/>
              <w:rPr>
                <w:rFonts w:ascii="Poppins" w:hAnsi="Poppins" w:cs="Poppins"/>
                <w:sz w:val="24"/>
                <w:szCs w:val="24"/>
              </w:rPr>
            </w:pPr>
            <w:r w:rsidRPr="00D1021A">
              <w:rPr>
                <w:rFonts w:ascii="Poppins" w:hAnsi="Poppins" w:cs="Poppins"/>
                <w:sz w:val="24"/>
                <w:szCs w:val="24"/>
              </w:rPr>
              <w:t>Das Lernmaterial ist nicht frei zugänglich oder es bestehen erhebliche Hürden zu ihrer Nutzung (z.B. Anmeldungs- oder Kostenpflicht).</w:t>
            </w:r>
          </w:p>
        </w:tc>
      </w:tr>
    </w:tbl>
    <w:p w14:paraId="7122D88D" w14:textId="77777777" w:rsidR="00665309" w:rsidRPr="00D1021A" w:rsidRDefault="00665309" w:rsidP="009B614E">
      <w:pPr>
        <w:spacing w:line="360" w:lineRule="auto"/>
        <w:rPr>
          <w:rFonts w:ascii="Poppins" w:hAnsi="Poppins" w:cs="Poppins"/>
          <w:b/>
          <w:bCs/>
          <w:sz w:val="24"/>
          <w:szCs w:val="24"/>
        </w:rPr>
      </w:pPr>
    </w:p>
    <w:p w14:paraId="2F791935" w14:textId="6283B0CF" w:rsidR="00EB58BF" w:rsidRPr="00D1021A" w:rsidRDefault="00EB58BF" w:rsidP="009B614E">
      <w:pPr>
        <w:spacing w:line="360" w:lineRule="auto"/>
        <w:rPr>
          <w:rFonts w:ascii="Poppins" w:hAnsi="Poppins" w:cs="Poppins"/>
          <w:b/>
          <w:bCs/>
          <w:sz w:val="24"/>
          <w:szCs w:val="24"/>
        </w:rPr>
      </w:pPr>
      <w:r w:rsidRPr="00D1021A">
        <w:rPr>
          <w:rFonts w:ascii="Poppins" w:hAnsi="Poppins" w:cs="Poppins"/>
          <w:b/>
          <w:bCs/>
          <w:sz w:val="24"/>
          <w:szCs w:val="24"/>
        </w:rPr>
        <w:t>Items:</w:t>
      </w:r>
      <w:r w:rsidR="00F71602" w:rsidRPr="00D1021A">
        <w:rPr>
          <w:rFonts w:ascii="Poppins" w:hAnsi="Poppins" w:cs="Poppins"/>
          <w:b/>
          <w:bCs/>
          <w:sz w:val="24"/>
          <w:szCs w:val="24"/>
        </w:rPr>
        <w:t xml:space="preserve"> CC-Lizenz</w:t>
      </w:r>
    </w:p>
    <w:tbl>
      <w:tblPr>
        <w:tblStyle w:val="Tabellenraster"/>
        <w:tblW w:w="0" w:type="auto"/>
        <w:tblLook w:val="04A0" w:firstRow="1" w:lastRow="0" w:firstColumn="1" w:lastColumn="0" w:noHBand="0" w:noVBand="1"/>
      </w:tblPr>
      <w:tblGrid>
        <w:gridCol w:w="5807"/>
        <w:gridCol w:w="3083"/>
      </w:tblGrid>
      <w:tr w:rsidR="00F71602" w:rsidRPr="00D1021A" w14:paraId="2F141BCE" w14:textId="77777777" w:rsidTr="008A63E5">
        <w:tc>
          <w:tcPr>
            <w:tcW w:w="5807" w:type="dxa"/>
          </w:tcPr>
          <w:p w14:paraId="7F41C205" w14:textId="3D823B2A" w:rsidR="00F71602" w:rsidRPr="00D1021A" w:rsidRDefault="00F71602" w:rsidP="00F4227D">
            <w:pPr>
              <w:pStyle w:val="Listenabsatz"/>
              <w:numPr>
                <w:ilvl w:val="0"/>
                <w:numId w:val="13"/>
              </w:numPr>
              <w:spacing w:line="360" w:lineRule="auto"/>
              <w:rPr>
                <w:rFonts w:ascii="Poppins" w:hAnsi="Poppins" w:cs="Poppins"/>
                <w:sz w:val="24"/>
                <w:szCs w:val="24"/>
              </w:rPr>
            </w:pPr>
            <w:r w:rsidRPr="00D1021A">
              <w:rPr>
                <w:rFonts w:ascii="Poppins" w:hAnsi="Poppins" w:cs="Poppins"/>
                <w:sz w:val="24"/>
                <w:szCs w:val="24"/>
              </w:rPr>
              <w:t>Die Ressource enthält die Angabe einer CC-Lizenz.</w:t>
            </w:r>
          </w:p>
        </w:tc>
        <w:tc>
          <w:tcPr>
            <w:tcW w:w="3083" w:type="dxa"/>
          </w:tcPr>
          <w:p w14:paraId="18BD3E84" w14:textId="77777777" w:rsidR="00F71602" w:rsidRPr="00D1021A" w:rsidRDefault="00F71602" w:rsidP="008A63E5">
            <w:pPr>
              <w:spacing w:line="360" w:lineRule="auto"/>
              <w:rPr>
                <w:rFonts w:ascii="Poppins" w:hAnsi="Poppins" w:cs="Poppins"/>
                <w:sz w:val="24"/>
                <w:szCs w:val="24"/>
              </w:rPr>
            </w:pPr>
            <w:r w:rsidRPr="00D1021A">
              <w:rPr>
                <w:rFonts w:ascii="Poppins" w:hAnsi="Poppins" w:cs="Poppins"/>
                <w:sz w:val="24"/>
                <w:szCs w:val="24"/>
              </w:rPr>
              <w:t>Hier entsprechend der fünfstufigen Skala bewerten.</w:t>
            </w:r>
          </w:p>
        </w:tc>
      </w:tr>
      <w:tr w:rsidR="00F71602" w:rsidRPr="00D1021A" w14:paraId="41477A1F" w14:textId="77777777" w:rsidTr="008A63E5">
        <w:tc>
          <w:tcPr>
            <w:tcW w:w="5807" w:type="dxa"/>
          </w:tcPr>
          <w:p w14:paraId="317B7D1C" w14:textId="0C6601F6" w:rsidR="00F71602" w:rsidRPr="00D1021A" w:rsidRDefault="00F71602" w:rsidP="00F4227D">
            <w:pPr>
              <w:pStyle w:val="Listenabsatz"/>
              <w:numPr>
                <w:ilvl w:val="0"/>
                <w:numId w:val="13"/>
              </w:numPr>
              <w:spacing w:line="360" w:lineRule="auto"/>
              <w:rPr>
                <w:rFonts w:ascii="Poppins" w:hAnsi="Poppins" w:cs="Poppins"/>
                <w:sz w:val="24"/>
                <w:szCs w:val="24"/>
              </w:rPr>
            </w:pPr>
            <w:r w:rsidRPr="00D1021A">
              <w:rPr>
                <w:rFonts w:ascii="Poppins" w:hAnsi="Poppins" w:cs="Poppins"/>
                <w:sz w:val="24"/>
                <w:szCs w:val="24"/>
              </w:rPr>
              <w:t>Die Ressource ist online ohne Beschränkungen nutzbar.</w:t>
            </w:r>
          </w:p>
        </w:tc>
        <w:tc>
          <w:tcPr>
            <w:tcW w:w="3083" w:type="dxa"/>
          </w:tcPr>
          <w:p w14:paraId="697B7BC1" w14:textId="77777777" w:rsidR="00F71602" w:rsidRPr="00D1021A" w:rsidRDefault="00F71602" w:rsidP="008A63E5">
            <w:pPr>
              <w:spacing w:line="360" w:lineRule="auto"/>
              <w:rPr>
                <w:rFonts w:ascii="Poppins" w:hAnsi="Poppins" w:cs="Poppins"/>
                <w:sz w:val="24"/>
                <w:szCs w:val="24"/>
              </w:rPr>
            </w:pPr>
          </w:p>
        </w:tc>
      </w:tr>
      <w:tr w:rsidR="00F71602" w:rsidRPr="00D1021A" w14:paraId="289EC282" w14:textId="77777777" w:rsidTr="008A63E5">
        <w:tc>
          <w:tcPr>
            <w:tcW w:w="5807" w:type="dxa"/>
          </w:tcPr>
          <w:p w14:paraId="6E24DD63" w14:textId="4B013336" w:rsidR="00F71602" w:rsidRPr="00D1021A" w:rsidRDefault="00F71602" w:rsidP="00F4227D">
            <w:pPr>
              <w:pStyle w:val="Listenabsatz"/>
              <w:numPr>
                <w:ilvl w:val="0"/>
                <w:numId w:val="13"/>
              </w:numPr>
              <w:spacing w:line="360" w:lineRule="auto"/>
              <w:rPr>
                <w:rFonts w:ascii="Poppins" w:hAnsi="Poppins" w:cs="Poppins"/>
                <w:sz w:val="24"/>
                <w:szCs w:val="24"/>
              </w:rPr>
            </w:pPr>
            <w:r w:rsidRPr="00D1021A">
              <w:rPr>
                <w:rFonts w:ascii="Poppins" w:hAnsi="Poppins" w:cs="Poppins"/>
                <w:sz w:val="24"/>
                <w:szCs w:val="24"/>
              </w:rPr>
              <w:t>Die Ressource ist offline nutzbar.</w:t>
            </w:r>
          </w:p>
        </w:tc>
        <w:tc>
          <w:tcPr>
            <w:tcW w:w="3083" w:type="dxa"/>
          </w:tcPr>
          <w:p w14:paraId="174E0EE9" w14:textId="77777777" w:rsidR="00F71602" w:rsidRPr="00D1021A" w:rsidRDefault="00F71602" w:rsidP="008A63E5">
            <w:pPr>
              <w:spacing w:line="360" w:lineRule="auto"/>
              <w:rPr>
                <w:rFonts w:ascii="Poppins" w:hAnsi="Poppins" w:cs="Poppins"/>
                <w:sz w:val="24"/>
                <w:szCs w:val="24"/>
              </w:rPr>
            </w:pPr>
          </w:p>
        </w:tc>
      </w:tr>
      <w:tr w:rsidR="00F71602" w:rsidRPr="00D1021A" w14:paraId="00C81F37" w14:textId="77777777" w:rsidTr="008A63E5">
        <w:tc>
          <w:tcPr>
            <w:tcW w:w="5807" w:type="dxa"/>
          </w:tcPr>
          <w:p w14:paraId="6D98C21A" w14:textId="1DAE2373" w:rsidR="00F71602" w:rsidRPr="00D1021A" w:rsidRDefault="00F71602" w:rsidP="00F4227D">
            <w:pPr>
              <w:pStyle w:val="Listenabsatz"/>
              <w:numPr>
                <w:ilvl w:val="0"/>
                <w:numId w:val="13"/>
              </w:numPr>
              <w:spacing w:line="360" w:lineRule="auto"/>
              <w:rPr>
                <w:rFonts w:ascii="Poppins" w:hAnsi="Poppins" w:cs="Poppins"/>
                <w:sz w:val="24"/>
                <w:szCs w:val="24"/>
              </w:rPr>
            </w:pPr>
            <w:r w:rsidRPr="00D1021A">
              <w:rPr>
                <w:rFonts w:ascii="Poppins" w:hAnsi="Poppins" w:cs="Poppins"/>
                <w:sz w:val="24"/>
                <w:szCs w:val="24"/>
              </w:rPr>
              <w:t>Die Ressource kann vollständig heruntergeladen werden</w:t>
            </w:r>
          </w:p>
        </w:tc>
        <w:tc>
          <w:tcPr>
            <w:tcW w:w="3083" w:type="dxa"/>
          </w:tcPr>
          <w:p w14:paraId="185B4739" w14:textId="77777777" w:rsidR="00F71602" w:rsidRPr="00D1021A" w:rsidRDefault="00F71602" w:rsidP="008A63E5">
            <w:pPr>
              <w:spacing w:line="360" w:lineRule="auto"/>
              <w:rPr>
                <w:rFonts w:ascii="Poppins" w:hAnsi="Poppins" w:cs="Poppins"/>
                <w:sz w:val="24"/>
                <w:szCs w:val="24"/>
              </w:rPr>
            </w:pPr>
          </w:p>
        </w:tc>
      </w:tr>
    </w:tbl>
    <w:p w14:paraId="6D8D1A47" w14:textId="77777777" w:rsidR="00D05EDE" w:rsidRPr="00D1021A" w:rsidRDefault="00D05EDE" w:rsidP="00D05EDE">
      <w:pPr>
        <w:pStyle w:val="berschrift3"/>
        <w:numPr>
          <w:ilvl w:val="0"/>
          <w:numId w:val="0"/>
        </w:numPr>
        <w:rPr>
          <w:rFonts w:ascii="Poppins" w:hAnsi="Poppins" w:cs="Poppins"/>
        </w:rPr>
      </w:pPr>
    </w:p>
    <w:p w14:paraId="2DF22A19" w14:textId="3D72860B" w:rsidR="008E46E1" w:rsidRPr="00D1021A" w:rsidRDefault="008E46E1" w:rsidP="00D05EDE">
      <w:pPr>
        <w:pStyle w:val="berschrift3"/>
        <w:rPr>
          <w:rFonts w:ascii="Poppins" w:hAnsi="Poppins" w:cs="Poppins"/>
        </w:rPr>
      </w:pPr>
      <w:bookmarkStart w:id="95" w:name="_Toc177037319"/>
      <w:r w:rsidRPr="00D1021A">
        <w:rPr>
          <w:rFonts w:ascii="Poppins" w:hAnsi="Poppins" w:cs="Poppins"/>
        </w:rPr>
        <w:t>Alignment</w:t>
      </w:r>
      <w:bookmarkEnd w:id="95"/>
    </w:p>
    <w:p w14:paraId="5F8A9533" w14:textId="6AF910EC" w:rsidR="00EB12B6" w:rsidRPr="00D1021A" w:rsidRDefault="00124612" w:rsidP="009B614E">
      <w:pPr>
        <w:spacing w:line="360" w:lineRule="auto"/>
        <w:rPr>
          <w:rFonts w:ascii="Poppins" w:hAnsi="Poppins" w:cs="Poppins"/>
          <w:sz w:val="24"/>
          <w:szCs w:val="24"/>
        </w:rPr>
      </w:pPr>
      <w:r w:rsidRPr="00D1021A">
        <w:rPr>
          <w:rFonts w:ascii="Poppins" w:hAnsi="Poppins" w:cs="Poppins"/>
          <w:sz w:val="24"/>
          <w:szCs w:val="24"/>
        </w:rPr>
        <w:t>Das Alignment nimmt das didaktische Design in den Blick und hat das Ziel ein sinnvolles Zusammenspiel zwischen den erzielten Lernergebnissen, den Lehr- und Lernaktivitäten sowie den Prüfungen zu schaffen (vgl. ebd., S. 57). Die Lernziele sollen dabei explizit benannt und die Lehr- und Lernaktivitäten auf sie abgestimmt werden. Die Inhalte sollen in Bezug auf Zielgruppenorientierung, Lernniveau, Lernhandlungen, Umfang und Verständlichkeit sinnvoll aufgebaut sein</w:t>
      </w:r>
      <w:r w:rsidR="007E4FC9" w:rsidRPr="00D1021A">
        <w:rPr>
          <w:rFonts w:ascii="Poppins" w:hAnsi="Poppins" w:cs="Poppins"/>
          <w:sz w:val="24"/>
          <w:szCs w:val="24"/>
        </w:rPr>
        <w:t xml:space="preserve"> und werden wie folgt eingeordnet</w:t>
      </w:r>
      <w:r w:rsidR="008A65E6" w:rsidRPr="00D1021A">
        <w:rPr>
          <w:rFonts w:ascii="Poppins" w:hAnsi="Poppins" w:cs="Poppins"/>
          <w:sz w:val="24"/>
          <w:szCs w:val="24"/>
        </w:rPr>
        <w:t>.</w:t>
      </w:r>
    </w:p>
    <w:p w14:paraId="57BC49D7" w14:textId="7841D141" w:rsidR="00124612" w:rsidRPr="00D1021A" w:rsidRDefault="00F71602" w:rsidP="009B614E">
      <w:pPr>
        <w:spacing w:line="360" w:lineRule="auto"/>
        <w:rPr>
          <w:rFonts w:ascii="Poppins" w:hAnsi="Poppins" w:cs="Poppins"/>
          <w:sz w:val="24"/>
          <w:szCs w:val="24"/>
        </w:rPr>
      </w:pPr>
      <w:r w:rsidRPr="00D1021A">
        <w:rPr>
          <w:rFonts w:ascii="Poppins" w:hAnsi="Poppins" w:cs="Poppins"/>
          <w:sz w:val="24"/>
          <w:szCs w:val="24"/>
        </w:rPr>
        <w:lastRenderedPageBreak/>
        <w:t>Skala: Alignment:</w:t>
      </w:r>
    </w:p>
    <w:tbl>
      <w:tblPr>
        <w:tblStyle w:val="Tabellenraster"/>
        <w:tblW w:w="8890" w:type="dxa"/>
        <w:tblLook w:val="04A0" w:firstRow="1" w:lastRow="0" w:firstColumn="1" w:lastColumn="0" w:noHBand="0" w:noVBand="1"/>
      </w:tblPr>
      <w:tblGrid>
        <w:gridCol w:w="562"/>
        <w:gridCol w:w="8328"/>
      </w:tblGrid>
      <w:tr w:rsidR="00F71602" w:rsidRPr="00D1021A" w14:paraId="2B8AAFEA" w14:textId="77777777" w:rsidTr="00F7351E">
        <w:tc>
          <w:tcPr>
            <w:tcW w:w="562" w:type="dxa"/>
            <w:shd w:val="clear" w:color="auto" w:fill="4EA72E" w:themeFill="accent6"/>
          </w:tcPr>
          <w:p w14:paraId="1A92EB4B" w14:textId="77777777" w:rsidR="00F71602" w:rsidRPr="00D1021A" w:rsidRDefault="00F71602" w:rsidP="008A63E5">
            <w:pPr>
              <w:spacing w:line="360" w:lineRule="auto"/>
              <w:rPr>
                <w:rFonts w:ascii="Poppins" w:hAnsi="Poppins" w:cs="Poppins"/>
              </w:rPr>
            </w:pPr>
            <w:r w:rsidRPr="00D1021A">
              <w:rPr>
                <w:rFonts w:ascii="Poppins" w:hAnsi="Poppins" w:cs="Poppins"/>
                <w:sz w:val="24"/>
                <w:szCs w:val="24"/>
              </w:rPr>
              <w:t>5</w:t>
            </w:r>
          </w:p>
        </w:tc>
        <w:tc>
          <w:tcPr>
            <w:tcW w:w="8328" w:type="dxa"/>
          </w:tcPr>
          <w:p w14:paraId="7FB0ADB5" w14:textId="77777777" w:rsidR="00F71602" w:rsidRPr="00D1021A" w:rsidRDefault="00F71602" w:rsidP="00F71602">
            <w:pPr>
              <w:spacing w:line="360" w:lineRule="auto"/>
              <w:rPr>
                <w:rFonts w:ascii="Poppins" w:hAnsi="Poppins" w:cs="Poppins"/>
                <w:sz w:val="24"/>
                <w:szCs w:val="24"/>
              </w:rPr>
            </w:pPr>
            <w:r w:rsidRPr="00D1021A">
              <w:rPr>
                <w:rFonts w:ascii="Poppins" w:hAnsi="Poppins" w:cs="Poppins"/>
                <w:sz w:val="24"/>
                <w:szCs w:val="24"/>
              </w:rPr>
              <w:t>Die intendierten Lernergebnisse werden eindeutig benannt. Die</w:t>
            </w:r>
          </w:p>
          <w:p w14:paraId="3804FB0E" w14:textId="77777777" w:rsidR="00F71602" w:rsidRPr="00D1021A" w:rsidRDefault="00F71602" w:rsidP="00F71602">
            <w:pPr>
              <w:spacing w:line="360" w:lineRule="auto"/>
              <w:rPr>
                <w:rFonts w:ascii="Poppins" w:hAnsi="Poppins" w:cs="Poppins"/>
                <w:sz w:val="24"/>
                <w:szCs w:val="24"/>
              </w:rPr>
            </w:pPr>
            <w:r w:rsidRPr="00D1021A">
              <w:rPr>
                <w:rFonts w:ascii="Poppins" w:hAnsi="Poppins" w:cs="Poppins"/>
                <w:sz w:val="24"/>
                <w:szCs w:val="24"/>
              </w:rPr>
              <w:t>präsentierten Inhalte und Lernaktivitäten stehen in Einklang mit</w:t>
            </w:r>
          </w:p>
          <w:p w14:paraId="32201D21" w14:textId="77777777" w:rsidR="00F71602" w:rsidRPr="00D1021A" w:rsidRDefault="00F71602" w:rsidP="00F71602">
            <w:pPr>
              <w:spacing w:line="360" w:lineRule="auto"/>
              <w:rPr>
                <w:rFonts w:ascii="Poppins" w:hAnsi="Poppins" w:cs="Poppins"/>
                <w:sz w:val="24"/>
                <w:szCs w:val="24"/>
              </w:rPr>
            </w:pPr>
            <w:r w:rsidRPr="00D1021A">
              <w:rPr>
                <w:rFonts w:ascii="Poppins" w:hAnsi="Poppins" w:cs="Poppins"/>
                <w:sz w:val="24"/>
                <w:szCs w:val="24"/>
              </w:rPr>
              <w:t>diesen Lernergebnissen. Alle intendierten Lernergebnisse werden</w:t>
            </w:r>
          </w:p>
          <w:p w14:paraId="115957D1" w14:textId="150A5B0D" w:rsidR="00F71602" w:rsidRPr="00D1021A" w:rsidRDefault="00F71602" w:rsidP="00F71602">
            <w:pPr>
              <w:spacing w:line="360" w:lineRule="auto"/>
              <w:rPr>
                <w:rFonts w:ascii="Poppins" w:hAnsi="Poppins" w:cs="Poppins"/>
                <w:sz w:val="24"/>
                <w:szCs w:val="24"/>
              </w:rPr>
            </w:pPr>
            <w:r w:rsidRPr="00D1021A">
              <w:rPr>
                <w:rFonts w:ascii="Poppins" w:hAnsi="Poppins" w:cs="Poppins"/>
                <w:sz w:val="24"/>
                <w:szCs w:val="24"/>
              </w:rPr>
              <w:t>erreicht.</w:t>
            </w:r>
          </w:p>
        </w:tc>
      </w:tr>
      <w:tr w:rsidR="00F71602" w:rsidRPr="00D1021A" w14:paraId="30CCAF97" w14:textId="77777777" w:rsidTr="00F7351E">
        <w:tc>
          <w:tcPr>
            <w:tcW w:w="562" w:type="dxa"/>
            <w:shd w:val="clear" w:color="auto" w:fill="8DD873" w:themeFill="accent6" w:themeFillTint="99"/>
          </w:tcPr>
          <w:p w14:paraId="028B6653" w14:textId="77777777" w:rsidR="00F71602" w:rsidRPr="00D1021A" w:rsidRDefault="00F71602" w:rsidP="008A63E5">
            <w:pPr>
              <w:spacing w:line="360" w:lineRule="auto"/>
              <w:rPr>
                <w:rFonts w:ascii="Poppins" w:hAnsi="Poppins" w:cs="Poppins"/>
              </w:rPr>
            </w:pPr>
            <w:r w:rsidRPr="00D1021A">
              <w:rPr>
                <w:rFonts w:ascii="Poppins" w:hAnsi="Poppins" w:cs="Poppins"/>
                <w:sz w:val="24"/>
                <w:szCs w:val="24"/>
              </w:rPr>
              <w:t>4</w:t>
            </w:r>
          </w:p>
        </w:tc>
        <w:tc>
          <w:tcPr>
            <w:tcW w:w="8328" w:type="dxa"/>
          </w:tcPr>
          <w:p w14:paraId="38E1281D" w14:textId="76BE60D0" w:rsidR="00F71602" w:rsidRPr="00D1021A" w:rsidRDefault="00F71602" w:rsidP="008A63E5">
            <w:pPr>
              <w:spacing w:line="360" w:lineRule="auto"/>
              <w:rPr>
                <w:rFonts w:ascii="Poppins" w:hAnsi="Poppins" w:cs="Poppins"/>
              </w:rPr>
            </w:pPr>
            <w:r w:rsidRPr="00D1021A">
              <w:rPr>
                <w:rFonts w:ascii="Poppins" w:hAnsi="Poppins" w:cs="Poppins"/>
                <w:sz w:val="24"/>
                <w:szCs w:val="24"/>
              </w:rPr>
              <w:t>Bildet eine Zwischenstufe ab</w:t>
            </w:r>
          </w:p>
        </w:tc>
      </w:tr>
      <w:tr w:rsidR="00F71602" w:rsidRPr="00D1021A" w14:paraId="3C6BBEB6" w14:textId="77777777" w:rsidTr="00F7351E">
        <w:tc>
          <w:tcPr>
            <w:tcW w:w="562" w:type="dxa"/>
            <w:shd w:val="clear" w:color="auto" w:fill="D9F2D0" w:themeFill="accent6" w:themeFillTint="33"/>
          </w:tcPr>
          <w:p w14:paraId="3778F02C" w14:textId="77777777" w:rsidR="00F71602" w:rsidRPr="00D1021A" w:rsidRDefault="00F71602" w:rsidP="008A63E5">
            <w:pPr>
              <w:spacing w:line="360" w:lineRule="auto"/>
              <w:rPr>
                <w:rFonts w:ascii="Poppins" w:hAnsi="Poppins" w:cs="Poppins"/>
              </w:rPr>
            </w:pPr>
            <w:r w:rsidRPr="00D1021A">
              <w:rPr>
                <w:rFonts w:ascii="Poppins" w:hAnsi="Poppins" w:cs="Poppins"/>
                <w:sz w:val="24"/>
                <w:szCs w:val="24"/>
              </w:rPr>
              <w:t>3</w:t>
            </w:r>
          </w:p>
        </w:tc>
        <w:tc>
          <w:tcPr>
            <w:tcW w:w="8328" w:type="dxa"/>
          </w:tcPr>
          <w:p w14:paraId="008AAF68" w14:textId="77777777" w:rsidR="00F71602" w:rsidRPr="00D1021A" w:rsidRDefault="00F71602" w:rsidP="00F71602">
            <w:pPr>
              <w:spacing w:line="360" w:lineRule="auto"/>
              <w:rPr>
                <w:rFonts w:ascii="Poppins" w:hAnsi="Poppins" w:cs="Poppins"/>
                <w:sz w:val="24"/>
                <w:szCs w:val="24"/>
              </w:rPr>
            </w:pPr>
            <w:r w:rsidRPr="00D1021A">
              <w:rPr>
                <w:rFonts w:ascii="Poppins" w:hAnsi="Poppins" w:cs="Poppins"/>
                <w:sz w:val="24"/>
                <w:szCs w:val="24"/>
              </w:rPr>
              <w:t>Zumindest ein Teil der intendierten Lernergebnisse kann durch die</w:t>
            </w:r>
          </w:p>
          <w:p w14:paraId="35A2AA4B" w14:textId="6377DE81" w:rsidR="00F71602" w:rsidRPr="00D1021A" w:rsidRDefault="00F71602" w:rsidP="00F71602">
            <w:pPr>
              <w:spacing w:line="360" w:lineRule="auto"/>
              <w:rPr>
                <w:rFonts w:ascii="Poppins" w:hAnsi="Poppins" w:cs="Poppins"/>
                <w:sz w:val="24"/>
                <w:szCs w:val="24"/>
              </w:rPr>
            </w:pPr>
            <w:r w:rsidRPr="00D1021A">
              <w:rPr>
                <w:rFonts w:ascii="Poppins" w:hAnsi="Poppins" w:cs="Poppins"/>
                <w:sz w:val="24"/>
                <w:szCs w:val="24"/>
              </w:rPr>
              <w:t>Lernaktivitäten erreicht werden.</w:t>
            </w:r>
          </w:p>
        </w:tc>
      </w:tr>
      <w:tr w:rsidR="00F71602" w:rsidRPr="00D1021A" w14:paraId="321561A8" w14:textId="77777777" w:rsidTr="00F7351E">
        <w:tc>
          <w:tcPr>
            <w:tcW w:w="562" w:type="dxa"/>
            <w:shd w:val="clear" w:color="auto" w:fill="FFFF00"/>
          </w:tcPr>
          <w:p w14:paraId="0C802031" w14:textId="77777777" w:rsidR="00F71602" w:rsidRPr="00D1021A" w:rsidRDefault="00F71602" w:rsidP="008A63E5">
            <w:pPr>
              <w:spacing w:line="360" w:lineRule="auto"/>
              <w:rPr>
                <w:rFonts w:ascii="Poppins" w:hAnsi="Poppins" w:cs="Poppins"/>
              </w:rPr>
            </w:pPr>
            <w:r w:rsidRPr="00D1021A">
              <w:rPr>
                <w:rFonts w:ascii="Poppins" w:hAnsi="Poppins" w:cs="Poppins"/>
                <w:sz w:val="24"/>
                <w:szCs w:val="24"/>
              </w:rPr>
              <w:t>2</w:t>
            </w:r>
          </w:p>
        </w:tc>
        <w:tc>
          <w:tcPr>
            <w:tcW w:w="8328" w:type="dxa"/>
          </w:tcPr>
          <w:p w14:paraId="2A5FA3A3" w14:textId="009503D4" w:rsidR="00F71602" w:rsidRPr="00D1021A" w:rsidRDefault="00F71602" w:rsidP="008A63E5">
            <w:pPr>
              <w:spacing w:line="360" w:lineRule="auto"/>
              <w:rPr>
                <w:rFonts w:ascii="Poppins" w:hAnsi="Poppins" w:cs="Poppins"/>
              </w:rPr>
            </w:pPr>
            <w:r w:rsidRPr="00D1021A">
              <w:rPr>
                <w:rFonts w:ascii="Poppins" w:hAnsi="Poppins" w:cs="Poppins"/>
                <w:sz w:val="24"/>
                <w:szCs w:val="24"/>
              </w:rPr>
              <w:t>Bildet eine Zwischenstufe ab</w:t>
            </w:r>
          </w:p>
        </w:tc>
      </w:tr>
      <w:tr w:rsidR="00F71602" w:rsidRPr="00D1021A" w14:paraId="46A2E52D" w14:textId="77777777" w:rsidTr="00F7351E">
        <w:tc>
          <w:tcPr>
            <w:tcW w:w="562" w:type="dxa"/>
            <w:shd w:val="clear" w:color="auto" w:fill="FF0000"/>
          </w:tcPr>
          <w:p w14:paraId="795041C5" w14:textId="77777777" w:rsidR="00F71602" w:rsidRPr="00D1021A" w:rsidRDefault="00F71602" w:rsidP="008A63E5">
            <w:pPr>
              <w:spacing w:line="360" w:lineRule="auto"/>
              <w:rPr>
                <w:rFonts w:ascii="Poppins" w:hAnsi="Poppins" w:cs="Poppins"/>
              </w:rPr>
            </w:pPr>
            <w:r w:rsidRPr="00D1021A">
              <w:rPr>
                <w:rFonts w:ascii="Poppins" w:hAnsi="Poppins" w:cs="Poppins"/>
                <w:sz w:val="24"/>
                <w:szCs w:val="24"/>
              </w:rPr>
              <w:t>1</w:t>
            </w:r>
          </w:p>
        </w:tc>
        <w:tc>
          <w:tcPr>
            <w:tcW w:w="8328" w:type="dxa"/>
          </w:tcPr>
          <w:p w14:paraId="16FC3500" w14:textId="77777777" w:rsidR="00F71602" w:rsidRPr="00D1021A" w:rsidRDefault="00F71602" w:rsidP="00F71602">
            <w:pPr>
              <w:spacing w:line="360" w:lineRule="auto"/>
              <w:rPr>
                <w:rFonts w:ascii="Poppins" w:hAnsi="Poppins" w:cs="Poppins"/>
                <w:sz w:val="24"/>
                <w:szCs w:val="24"/>
              </w:rPr>
            </w:pPr>
            <w:r w:rsidRPr="00D1021A">
              <w:rPr>
                <w:rFonts w:ascii="Poppins" w:hAnsi="Poppins" w:cs="Poppins"/>
                <w:sz w:val="24"/>
                <w:szCs w:val="24"/>
              </w:rPr>
              <w:t>Es wird nicht deutlich, wie durch die Lernaktivitäten die</w:t>
            </w:r>
          </w:p>
          <w:p w14:paraId="16F8174F" w14:textId="6489FC44" w:rsidR="00F71602" w:rsidRPr="00D1021A" w:rsidRDefault="00F71602" w:rsidP="00F71602">
            <w:pPr>
              <w:spacing w:line="360" w:lineRule="auto"/>
              <w:rPr>
                <w:rFonts w:ascii="Poppins" w:hAnsi="Poppins" w:cs="Poppins"/>
                <w:sz w:val="24"/>
                <w:szCs w:val="24"/>
              </w:rPr>
            </w:pPr>
            <w:r w:rsidRPr="00D1021A">
              <w:rPr>
                <w:rFonts w:ascii="Poppins" w:hAnsi="Poppins" w:cs="Poppins"/>
                <w:sz w:val="24"/>
                <w:szCs w:val="24"/>
              </w:rPr>
              <w:t>intendierten Lernergebnisse erreicht werden sollen.</w:t>
            </w:r>
          </w:p>
        </w:tc>
      </w:tr>
    </w:tbl>
    <w:p w14:paraId="6DDF047C" w14:textId="77777777" w:rsidR="00214BE1" w:rsidRPr="00D1021A" w:rsidRDefault="00214BE1" w:rsidP="009B614E">
      <w:pPr>
        <w:spacing w:line="360" w:lineRule="auto"/>
        <w:rPr>
          <w:rFonts w:ascii="Poppins" w:hAnsi="Poppins" w:cs="Poppins"/>
        </w:rPr>
      </w:pPr>
    </w:p>
    <w:p w14:paraId="5B4E41E6" w14:textId="04D7C201" w:rsidR="00EB58BF" w:rsidRPr="00D1021A" w:rsidRDefault="00EB58BF" w:rsidP="009B614E">
      <w:pPr>
        <w:spacing w:line="360" w:lineRule="auto"/>
        <w:rPr>
          <w:rFonts w:ascii="Poppins" w:hAnsi="Poppins" w:cs="Poppins"/>
          <w:sz w:val="24"/>
          <w:szCs w:val="24"/>
        </w:rPr>
      </w:pPr>
      <w:r w:rsidRPr="00D1021A">
        <w:rPr>
          <w:rFonts w:ascii="Poppins" w:hAnsi="Poppins" w:cs="Poppins"/>
          <w:sz w:val="24"/>
          <w:szCs w:val="24"/>
        </w:rPr>
        <w:t>Items:</w:t>
      </w:r>
      <w:r w:rsidR="00214BE1" w:rsidRPr="00D1021A">
        <w:rPr>
          <w:rFonts w:ascii="Poppins" w:hAnsi="Poppins" w:cs="Poppins"/>
          <w:sz w:val="24"/>
          <w:szCs w:val="24"/>
        </w:rPr>
        <w:t xml:space="preserve"> Alignment</w:t>
      </w:r>
    </w:p>
    <w:tbl>
      <w:tblPr>
        <w:tblStyle w:val="Tabellenraster"/>
        <w:tblW w:w="0" w:type="auto"/>
        <w:tblLook w:val="04A0" w:firstRow="1" w:lastRow="0" w:firstColumn="1" w:lastColumn="0" w:noHBand="0" w:noVBand="1"/>
      </w:tblPr>
      <w:tblGrid>
        <w:gridCol w:w="5807"/>
        <w:gridCol w:w="3083"/>
      </w:tblGrid>
      <w:tr w:rsidR="00214BE1" w:rsidRPr="00D1021A" w14:paraId="26868A31" w14:textId="77777777" w:rsidTr="008A63E5">
        <w:tc>
          <w:tcPr>
            <w:tcW w:w="5807" w:type="dxa"/>
          </w:tcPr>
          <w:p w14:paraId="3FFDEE5A" w14:textId="743D89E1" w:rsidR="00214BE1" w:rsidRPr="00D1021A" w:rsidRDefault="00214BE1" w:rsidP="00F4227D">
            <w:pPr>
              <w:pStyle w:val="Listenabsatz"/>
              <w:numPr>
                <w:ilvl w:val="0"/>
                <w:numId w:val="14"/>
              </w:numPr>
              <w:spacing w:line="360" w:lineRule="auto"/>
              <w:rPr>
                <w:rFonts w:ascii="Poppins" w:hAnsi="Poppins" w:cs="Poppins"/>
                <w:sz w:val="24"/>
                <w:szCs w:val="24"/>
              </w:rPr>
            </w:pPr>
            <w:r w:rsidRPr="00D1021A">
              <w:rPr>
                <w:rFonts w:ascii="Poppins" w:hAnsi="Poppins" w:cs="Poppins"/>
                <w:sz w:val="24"/>
                <w:szCs w:val="24"/>
              </w:rPr>
              <w:t>Zu Beginn des Materials wird deutlich, „was man kann, wenn man fertig ist“</w:t>
            </w:r>
          </w:p>
        </w:tc>
        <w:tc>
          <w:tcPr>
            <w:tcW w:w="3083" w:type="dxa"/>
          </w:tcPr>
          <w:p w14:paraId="0BADD30E" w14:textId="77777777" w:rsidR="00214BE1" w:rsidRPr="00D1021A" w:rsidRDefault="00214BE1" w:rsidP="008A63E5">
            <w:pPr>
              <w:spacing w:line="360" w:lineRule="auto"/>
              <w:rPr>
                <w:rFonts w:ascii="Poppins" w:hAnsi="Poppins" w:cs="Poppins"/>
                <w:sz w:val="24"/>
                <w:szCs w:val="24"/>
              </w:rPr>
            </w:pPr>
            <w:r w:rsidRPr="00D1021A">
              <w:rPr>
                <w:rFonts w:ascii="Poppins" w:hAnsi="Poppins" w:cs="Poppins"/>
                <w:sz w:val="24"/>
                <w:szCs w:val="24"/>
              </w:rPr>
              <w:t>Hier entsprechend der fünfstufigen Skala bewerten.</w:t>
            </w:r>
          </w:p>
        </w:tc>
      </w:tr>
      <w:tr w:rsidR="00214BE1" w:rsidRPr="00D1021A" w14:paraId="04CC9AA7" w14:textId="77777777" w:rsidTr="008A63E5">
        <w:tc>
          <w:tcPr>
            <w:tcW w:w="5807" w:type="dxa"/>
          </w:tcPr>
          <w:p w14:paraId="127045EE" w14:textId="111D8F1B" w:rsidR="00214BE1" w:rsidRPr="00D1021A" w:rsidRDefault="00214BE1" w:rsidP="00F4227D">
            <w:pPr>
              <w:pStyle w:val="Listenabsatz"/>
              <w:numPr>
                <w:ilvl w:val="0"/>
                <w:numId w:val="14"/>
              </w:numPr>
              <w:spacing w:line="360" w:lineRule="auto"/>
              <w:rPr>
                <w:rFonts w:ascii="Poppins" w:hAnsi="Poppins" w:cs="Poppins"/>
                <w:sz w:val="24"/>
                <w:szCs w:val="24"/>
              </w:rPr>
            </w:pPr>
            <w:r w:rsidRPr="00D1021A">
              <w:rPr>
                <w:rFonts w:ascii="Poppins" w:hAnsi="Poppins" w:cs="Poppins"/>
                <w:sz w:val="24"/>
                <w:szCs w:val="24"/>
              </w:rPr>
              <w:t>Lernergebnisse sind klar beschrieben, verständlich und handlungsorientiert formuliert.</w:t>
            </w:r>
          </w:p>
        </w:tc>
        <w:tc>
          <w:tcPr>
            <w:tcW w:w="3083" w:type="dxa"/>
          </w:tcPr>
          <w:p w14:paraId="783783EA" w14:textId="77777777" w:rsidR="00214BE1" w:rsidRPr="00D1021A" w:rsidRDefault="00214BE1" w:rsidP="008A63E5">
            <w:pPr>
              <w:spacing w:line="360" w:lineRule="auto"/>
              <w:rPr>
                <w:rFonts w:ascii="Poppins" w:hAnsi="Poppins" w:cs="Poppins"/>
                <w:sz w:val="24"/>
                <w:szCs w:val="24"/>
              </w:rPr>
            </w:pPr>
          </w:p>
        </w:tc>
      </w:tr>
      <w:tr w:rsidR="00214BE1" w:rsidRPr="00D1021A" w14:paraId="05B0D3BD" w14:textId="77777777" w:rsidTr="008A63E5">
        <w:tc>
          <w:tcPr>
            <w:tcW w:w="5807" w:type="dxa"/>
          </w:tcPr>
          <w:p w14:paraId="3855A8D9" w14:textId="03659BE3" w:rsidR="00214BE1" w:rsidRPr="00D1021A" w:rsidRDefault="00214BE1" w:rsidP="00F4227D">
            <w:pPr>
              <w:pStyle w:val="Listenabsatz"/>
              <w:numPr>
                <w:ilvl w:val="0"/>
                <w:numId w:val="14"/>
              </w:numPr>
              <w:spacing w:line="360" w:lineRule="auto"/>
              <w:rPr>
                <w:rFonts w:ascii="Poppins" w:hAnsi="Poppins" w:cs="Poppins"/>
                <w:sz w:val="24"/>
                <w:szCs w:val="24"/>
              </w:rPr>
            </w:pPr>
            <w:r w:rsidRPr="00D1021A">
              <w:rPr>
                <w:rFonts w:ascii="Poppins" w:hAnsi="Poppins" w:cs="Poppins"/>
                <w:sz w:val="24"/>
                <w:szCs w:val="24"/>
              </w:rPr>
              <w:t>Die Lernaktivitäten sind so gewählt, dass die intendierten Lernergebnisse erreicht werden.</w:t>
            </w:r>
          </w:p>
        </w:tc>
        <w:tc>
          <w:tcPr>
            <w:tcW w:w="3083" w:type="dxa"/>
          </w:tcPr>
          <w:p w14:paraId="493B5ECE" w14:textId="77777777" w:rsidR="00214BE1" w:rsidRPr="00D1021A" w:rsidRDefault="00214BE1" w:rsidP="008A63E5">
            <w:pPr>
              <w:spacing w:line="360" w:lineRule="auto"/>
              <w:rPr>
                <w:rFonts w:ascii="Poppins" w:hAnsi="Poppins" w:cs="Poppins"/>
                <w:sz w:val="24"/>
                <w:szCs w:val="24"/>
              </w:rPr>
            </w:pPr>
          </w:p>
        </w:tc>
      </w:tr>
      <w:tr w:rsidR="00214BE1" w:rsidRPr="00D1021A" w14:paraId="63A9FF73" w14:textId="77777777" w:rsidTr="008A63E5">
        <w:tc>
          <w:tcPr>
            <w:tcW w:w="5807" w:type="dxa"/>
          </w:tcPr>
          <w:p w14:paraId="6BB7B766" w14:textId="3ECB0EBD" w:rsidR="00214BE1" w:rsidRPr="00D1021A" w:rsidRDefault="00214BE1" w:rsidP="00F4227D">
            <w:pPr>
              <w:pStyle w:val="Listenabsatz"/>
              <w:numPr>
                <w:ilvl w:val="0"/>
                <w:numId w:val="14"/>
              </w:numPr>
              <w:spacing w:line="360" w:lineRule="auto"/>
              <w:rPr>
                <w:rFonts w:ascii="Poppins" w:hAnsi="Poppins" w:cs="Poppins"/>
                <w:sz w:val="24"/>
                <w:szCs w:val="24"/>
              </w:rPr>
            </w:pPr>
            <w:r w:rsidRPr="00D1021A">
              <w:rPr>
                <w:rFonts w:ascii="Poppins" w:hAnsi="Poppins" w:cs="Poppins"/>
                <w:sz w:val="24"/>
                <w:szCs w:val="24"/>
              </w:rPr>
              <w:t>Die präsentierten Inhalte sind geeignet, die intendierten Lernergebnisse zu erreichen.</w:t>
            </w:r>
          </w:p>
        </w:tc>
        <w:tc>
          <w:tcPr>
            <w:tcW w:w="3083" w:type="dxa"/>
          </w:tcPr>
          <w:p w14:paraId="0203B7AC" w14:textId="77777777" w:rsidR="00214BE1" w:rsidRPr="00D1021A" w:rsidRDefault="00214BE1" w:rsidP="008A63E5">
            <w:pPr>
              <w:spacing w:line="360" w:lineRule="auto"/>
              <w:rPr>
                <w:rFonts w:ascii="Poppins" w:hAnsi="Poppins" w:cs="Poppins"/>
                <w:sz w:val="24"/>
                <w:szCs w:val="24"/>
              </w:rPr>
            </w:pPr>
          </w:p>
        </w:tc>
      </w:tr>
      <w:tr w:rsidR="00214BE1" w:rsidRPr="00D1021A" w14:paraId="097FB79B" w14:textId="77777777" w:rsidTr="008A63E5">
        <w:tc>
          <w:tcPr>
            <w:tcW w:w="5807" w:type="dxa"/>
          </w:tcPr>
          <w:p w14:paraId="76924A96" w14:textId="3771F7C6" w:rsidR="00214BE1" w:rsidRPr="00D1021A" w:rsidRDefault="00214BE1" w:rsidP="00F4227D">
            <w:pPr>
              <w:pStyle w:val="Listenabsatz"/>
              <w:numPr>
                <w:ilvl w:val="0"/>
                <w:numId w:val="14"/>
              </w:numPr>
              <w:spacing w:line="360" w:lineRule="auto"/>
              <w:rPr>
                <w:rFonts w:ascii="Poppins" w:hAnsi="Poppins" w:cs="Poppins"/>
                <w:sz w:val="24"/>
                <w:szCs w:val="24"/>
              </w:rPr>
            </w:pPr>
            <w:r w:rsidRPr="00D1021A">
              <w:rPr>
                <w:rFonts w:ascii="Poppins" w:hAnsi="Poppins" w:cs="Poppins"/>
                <w:sz w:val="24"/>
                <w:szCs w:val="24"/>
              </w:rPr>
              <w:lastRenderedPageBreak/>
              <w:t>Die Form der Darstellung entspricht den intendierten Lernergebnissen.</w:t>
            </w:r>
          </w:p>
        </w:tc>
        <w:tc>
          <w:tcPr>
            <w:tcW w:w="3083" w:type="dxa"/>
          </w:tcPr>
          <w:p w14:paraId="6544550D" w14:textId="77777777" w:rsidR="00214BE1" w:rsidRPr="00D1021A" w:rsidRDefault="00214BE1" w:rsidP="008A63E5">
            <w:pPr>
              <w:spacing w:line="360" w:lineRule="auto"/>
              <w:rPr>
                <w:rFonts w:ascii="Poppins" w:hAnsi="Poppins" w:cs="Poppins"/>
                <w:sz w:val="24"/>
                <w:szCs w:val="24"/>
              </w:rPr>
            </w:pPr>
          </w:p>
        </w:tc>
      </w:tr>
      <w:tr w:rsidR="00214BE1" w:rsidRPr="00D1021A" w14:paraId="5AB49FC4" w14:textId="77777777" w:rsidTr="008A63E5">
        <w:tc>
          <w:tcPr>
            <w:tcW w:w="5807" w:type="dxa"/>
          </w:tcPr>
          <w:p w14:paraId="1D4EBF6A" w14:textId="3E277CC2" w:rsidR="00214BE1" w:rsidRPr="00D1021A" w:rsidRDefault="00214BE1" w:rsidP="00F4227D">
            <w:pPr>
              <w:pStyle w:val="Listenabsatz"/>
              <w:numPr>
                <w:ilvl w:val="0"/>
                <w:numId w:val="14"/>
              </w:numPr>
              <w:spacing w:line="360" w:lineRule="auto"/>
              <w:rPr>
                <w:rFonts w:ascii="Poppins" w:hAnsi="Poppins" w:cs="Poppins"/>
                <w:sz w:val="24"/>
                <w:szCs w:val="24"/>
              </w:rPr>
            </w:pPr>
            <w:r w:rsidRPr="00D1021A">
              <w:rPr>
                <w:rFonts w:ascii="Poppins" w:hAnsi="Poppins" w:cs="Poppins"/>
                <w:sz w:val="24"/>
                <w:szCs w:val="24"/>
              </w:rPr>
              <w:t>Der Detaillierungsgrad des Materials steht in einem angemessenen Verhältnis zu den intendierten Lernergebnissen.</w:t>
            </w:r>
          </w:p>
        </w:tc>
        <w:tc>
          <w:tcPr>
            <w:tcW w:w="3083" w:type="dxa"/>
          </w:tcPr>
          <w:p w14:paraId="711200C6" w14:textId="77777777" w:rsidR="00214BE1" w:rsidRPr="00D1021A" w:rsidRDefault="00214BE1" w:rsidP="008A63E5">
            <w:pPr>
              <w:spacing w:line="360" w:lineRule="auto"/>
              <w:rPr>
                <w:rFonts w:ascii="Poppins" w:hAnsi="Poppins" w:cs="Poppins"/>
                <w:sz w:val="24"/>
                <w:szCs w:val="24"/>
              </w:rPr>
            </w:pPr>
          </w:p>
        </w:tc>
      </w:tr>
    </w:tbl>
    <w:p w14:paraId="167E0A54" w14:textId="7A1B452F" w:rsidR="00124612" w:rsidRPr="00D1021A" w:rsidRDefault="00124612" w:rsidP="00F4227D">
      <w:pPr>
        <w:spacing w:after="0" w:line="360" w:lineRule="auto"/>
        <w:rPr>
          <w:rFonts w:ascii="Poppins" w:hAnsi="Poppins" w:cs="Poppins"/>
          <w:sz w:val="24"/>
          <w:szCs w:val="24"/>
        </w:rPr>
      </w:pPr>
    </w:p>
    <w:p w14:paraId="4DE91368" w14:textId="040A8601" w:rsidR="008E46E1" w:rsidRPr="00D1021A" w:rsidRDefault="008E46E1" w:rsidP="009B614E">
      <w:pPr>
        <w:pStyle w:val="berschrift3"/>
        <w:rPr>
          <w:rFonts w:ascii="Poppins" w:hAnsi="Poppins" w:cs="Poppins"/>
        </w:rPr>
      </w:pPr>
      <w:bookmarkStart w:id="96" w:name="_Toc177037320"/>
      <w:r w:rsidRPr="00D1021A">
        <w:rPr>
          <w:rFonts w:ascii="Poppins" w:hAnsi="Poppins" w:cs="Poppins"/>
        </w:rPr>
        <w:t>Inhaltliche Wiederverwendbarkeit</w:t>
      </w:r>
      <w:bookmarkEnd w:id="96"/>
    </w:p>
    <w:p w14:paraId="107C740E" w14:textId="4012AAFE" w:rsidR="007E4FC9" w:rsidRPr="00D1021A" w:rsidRDefault="007E4FC9" w:rsidP="009B614E">
      <w:pPr>
        <w:spacing w:line="360" w:lineRule="auto"/>
        <w:rPr>
          <w:rFonts w:ascii="Poppins" w:hAnsi="Poppins" w:cs="Poppins"/>
          <w:sz w:val="24"/>
          <w:szCs w:val="24"/>
        </w:rPr>
      </w:pPr>
      <w:r w:rsidRPr="00D1021A">
        <w:rPr>
          <w:rFonts w:ascii="Poppins" w:hAnsi="Poppins" w:cs="Poppins"/>
          <w:sz w:val="24"/>
          <w:szCs w:val="24"/>
        </w:rPr>
        <w:t xml:space="preserve">Die Inhalte der Lernangebote sollen so aufbereitet und dargestellt sein, dass sie auch in andere Kontexte übernommen und dort Verwendung finden können (vgl. </w:t>
      </w:r>
      <w:proofErr w:type="spellStart"/>
      <w:r w:rsidRPr="00D1021A">
        <w:rPr>
          <w:rFonts w:ascii="Poppins" w:hAnsi="Poppins" w:cs="Poppins"/>
          <w:sz w:val="24"/>
          <w:szCs w:val="24"/>
        </w:rPr>
        <w:t>Mayrberger</w:t>
      </w:r>
      <w:proofErr w:type="spellEnd"/>
      <w:r w:rsidRPr="00D1021A">
        <w:rPr>
          <w:rFonts w:ascii="Poppins" w:hAnsi="Poppins" w:cs="Poppins"/>
          <w:sz w:val="24"/>
          <w:szCs w:val="24"/>
        </w:rPr>
        <w:t xml:space="preserve">, </w:t>
      </w:r>
      <w:proofErr w:type="spellStart"/>
      <w:r w:rsidRPr="00D1021A">
        <w:rPr>
          <w:rFonts w:ascii="Poppins" w:hAnsi="Poppins" w:cs="Poppins"/>
          <w:sz w:val="24"/>
          <w:szCs w:val="24"/>
        </w:rPr>
        <w:t>Zawacki</w:t>
      </w:r>
      <w:proofErr w:type="spellEnd"/>
      <w:r w:rsidRPr="00D1021A">
        <w:rPr>
          <w:rFonts w:ascii="Poppins" w:hAnsi="Poppins" w:cs="Poppins"/>
          <w:sz w:val="24"/>
          <w:szCs w:val="24"/>
        </w:rPr>
        <w:t xml:space="preserve">-Richter &amp; </w:t>
      </w:r>
      <w:proofErr w:type="spellStart"/>
      <w:r w:rsidRPr="00D1021A">
        <w:rPr>
          <w:rFonts w:ascii="Poppins" w:hAnsi="Poppins" w:cs="Poppins"/>
          <w:sz w:val="24"/>
          <w:szCs w:val="24"/>
        </w:rPr>
        <w:t>Müskens</w:t>
      </w:r>
      <w:proofErr w:type="spellEnd"/>
      <w:r w:rsidRPr="00D1021A">
        <w:rPr>
          <w:rFonts w:ascii="Poppins" w:hAnsi="Poppins" w:cs="Poppins"/>
          <w:sz w:val="24"/>
          <w:szCs w:val="24"/>
        </w:rPr>
        <w:t>, 2018, S. 37). Um dies zu gewährleisten</w:t>
      </w:r>
      <w:r w:rsidR="00D05EDE" w:rsidRPr="00D1021A">
        <w:rPr>
          <w:rFonts w:ascii="Poppins" w:hAnsi="Poppins" w:cs="Poppins"/>
          <w:sz w:val="24"/>
          <w:szCs w:val="24"/>
        </w:rPr>
        <w:t>,</w:t>
      </w:r>
      <w:r w:rsidRPr="00D1021A">
        <w:rPr>
          <w:rFonts w:ascii="Poppins" w:hAnsi="Poppins" w:cs="Poppins"/>
          <w:sz w:val="24"/>
          <w:szCs w:val="24"/>
        </w:rPr>
        <w:t xml:space="preserve"> ist es jedoch notwendig, technische Standards und offene Formate zu verwenden. Die inhaltliche Wiederverwendbarkeit wird wie folgt kategorisiert</w:t>
      </w:r>
      <w:r w:rsidR="008A65E6" w:rsidRPr="00D1021A">
        <w:rPr>
          <w:rFonts w:ascii="Poppins" w:hAnsi="Poppins" w:cs="Poppins"/>
          <w:sz w:val="24"/>
          <w:szCs w:val="24"/>
        </w:rPr>
        <w:t>.</w:t>
      </w:r>
    </w:p>
    <w:p w14:paraId="0E6A43CF" w14:textId="0E155258" w:rsidR="00EB58BF" w:rsidRPr="00D1021A" w:rsidRDefault="00214BE1" w:rsidP="009B614E">
      <w:pPr>
        <w:spacing w:line="360" w:lineRule="auto"/>
        <w:rPr>
          <w:rFonts w:ascii="Poppins" w:hAnsi="Poppins" w:cs="Poppins"/>
          <w:sz w:val="24"/>
          <w:szCs w:val="24"/>
        </w:rPr>
      </w:pPr>
      <w:r w:rsidRPr="00D1021A">
        <w:rPr>
          <w:rFonts w:ascii="Poppins" w:hAnsi="Poppins" w:cs="Poppins"/>
          <w:sz w:val="24"/>
          <w:szCs w:val="24"/>
        </w:rPr>
        <w:t>Skala: Inhaltliche Wiederverwendbarkeit</w:t>
      </w:r>
    </w:p>
    <w:tbl>
      <w:tblPr>
        <w:tblStyle w:val="Tabellenraster"/>
        <w:tblW w:w="8890" w:type="dxa"/>
        <w:tblLook w:val="04A0" w:firstRow="1" w:lastRow="0" w:firstColumn="1" w:lastColumn="0" w:noHBand="0" w:noVBand="1"/>
      </w:tblPr>
      <w:tblGrid>
        <w:gridCol w:w="562"/>
        <w:gridCol w:w="8328"/>
      </w:tblGrid>
      <w:tr w:rsidR="008A65E6" w:rsidRPr="00D1021A" w14:paraId="5EC3CFB7" w14:textId="77777777" w:rsidTr="00F7351E">
        <w:tc>
          <w:tcPr>
            <w:tcW w:w="562" w:type="dxa"/>
            <w:shd w:val="clear" w:color="auto" w:fill="4EA72E" w:themeFill="accent6"/>
          </w:tcPr>
          <w:p w14:paraId="445B9307" w14:textId="77777777" w:rsidR="008A65E6" w:rsidRPr="00D1021A" w:rsidRDefault="008A65E6" w:rsidP="008A63E5">
            <w:pPr>
              <w:spacing w:line="360" w:lineRule="auto"/>
              <w:rPr>
                <w:rFonts w:ascii="Poppins" w:hAnsi="Poppins" w:cs="Poppins"/>
                <w:sz w:val="24"/>
                <w:szCs w:val="24"/>
              </w:rPr>
            </w:pPr>
            <w:r w:rsidRPr="00D1021A">
              <w:rPr>
                <w:rFonts w:ascii="Poppins" w:hAnsi="Poppins" w:cs="Poppins"/>
                <w:sz w:val="24"/>
                <w:szCs w:val="24"/>
              </w:rPr>
              <w:t>5</w:t>
            </w:r>
          </w:p>
        </w:tc>
        <w:tc>
          <w:tcPr>
            <w:tcW w:w="8328" w:type="dxa"/>
          </w:tcPr>
          <w:p w14:paraId="1B87E3B0" w14:textId="77777777" w:rsidR="004E5AA6" w:rsidRPr="00D1021A" w:rsidRDefault="004E5AA6" w:rsidP="004E5AA6">
            <w:pPr>
              <w:spacing w:line="360" w:lineRule="auto"/>
              <w:rPr>
                <w:rFonts w:ascii="Poppins" w:hAnsi="Poppins" w:cs="Poppins"/>
                <w:sz w:val="24"/>
                <w:szCs w:val="24"/>
              </w:rPr>
            </w:pPr>
            <w:r w:rsidRPr="00D1021A">
              <w:rPr>
                <w:rFonts w:ascii="Poppins" w:hAnsi="Poppins" w:cs="Poppins"/>
                <w:sz w:val="24"/>
                <w:szCs w:val="24"/>
              </w:rPr>
              <w:t>Die Ressource beinhaltet oder besteht aus klar abgrenzbaren</w:t>
            </w:r>
          </w:p>
          <w:p w14:paraId="4736992D" w14:textId="77777777" w:rsidR="004E5AA6" w:rsidRPr="00D1021A" w:rsidRDefault="004E5AA6" w:rsidP="004E5AA6">
            <w:pPr>
              <w:spacing w:line="360" w:lineRule="auto"/>
              <w:rPr>
                <w:rFonts w:ascii="Poppins" w:hAnsi="Poppins" w:cs="Poppins"/>
                <w:sz w:val="24"/>
                <w:szCs w:val="24"/>
              </w:rPr>
            </w:pPr>
            <w:r w:rsidRPr="00D1021A">
              <w:rPr>
                <w:rFonts w:ascii="Poppins" w:hAnsi="Poppins" w:cs="Poppins"/>
                <w:sz w:val="24"/>
                <w:szCs w:val="24"/>
              </w:rPr>
              <w:t>Lernobjekten, die problemlos in Kursen oder anderen Kontexten</w:t>
            </w:r>
          </w:p>
          <w:p w14:paraId="149F1CB5" w14:textId="77777777" w:rsidR="004E5AA6" w:rsidRPr="00D1021A" w:rsidRDefault="004E5AA6" w:rsidP="004E5AA6">
            <w:pPr>
              <w:spacing w:line="360" w:lineRule="auto"/>
              <w:rPr>
                <w:rFonts w:ascii="Poppins" w:hAnsi="Poppins" w:cs="Poppins"/>
                <w:sz w:val="24"/>
                <w:szCs w:val="24"/>
              </w:rPr>
            </w:pPr>
            <w:r w:rsidRPr="00D1021A">
              <w:rPr>
                <w:rFonts w:ascii="Poppins" w:hAnsi="Poppins" w:cs="Poppins"/>
                <w:sz w:val="24"/>
                <w:szCs w:val="24"/>
              </w:rPr>
              <w:t>(z. B. in einem Studiengang) eingesetzt werden können. Die</w:t>
            </w:r>
          </w:p>
          <w:p w14:paraId="371CF890" w14:textId="77777777" w:rsidR="004E5AA6" w:rsidRPr="00D1021A" w:rsidRDefault="004E5AA6" w:rsidP="004E5AA6">
            <w:pPr>
              <w:spacing w:line="360" w:lineRule="auto"/>
              <w:rPr>
                <w:rFonts w:ascii="Poppins" w:hAnsi="Poppins" w:cs="Poppins"/>
                <w:sz w:val="24"/>
                <w:szCs w:val="24"/>
              </w:rPr>
            </w:pPr>
            <w:r w:rsidRPr="00D1021A">
              <w:rPr>
                <w:rFonts w:ascii="Poppins" w:hAnsi="Poppins" w:cs="Poppins"/>
                <w:sz w:val="24"/>
                <w:szCs w:val="24"/>
              </w:rPr>
              <w:t>Inhalte sind in sich geschlossen und setzen nicht die Verwendung</w:t>
            </w:r>
          </w:p>
          <w:p w14:paraId="76E232CD" w14:textId="6D78779D" w:rsidR="008A65E6" w:rsidRPr="00D1021A" w:rsidRDefault="004E5AA6" w:rsidP="004E5AA6">
            <w:pPr>
              <w:spacing w:line="360" w:lineRule="auto"/>
              <w:rPr>
                <w:rFonts w:ascii="Poppins" w:hAnsi="Poppins" w:cs="Poppins"/>
                <w:sz w:val="24"/>
                <w:szCs w:val="24"/>
              </w:rPr>
            </w:pPr>
            <w:r w:rsidRPr="00D1021A">
              <w:rPr>
                <w:rFonts w:ascii="Poppins" w:hAnsi="Poppins" w:cs="Poppins"/>
                <w:sz w:val="24"/>
                <w:szCs w:val="24"/>
              </w:rPr>
              <w:t>anderer Materialien voraus.</w:t>
            </w:r>
          </w:p>
        </w:tc>
      </w:tr>
      <w:tr w:rsidR="008A65E6" w:rsidRPr="00D1021A" w14:paraId="43D06176" w14:textId="77777777" w:rsidTr="00F7351E">
        <w:tc>
          <w:tcPr>
            <w:tcW w:w="562" w:type="dxa"/>
            <w:shd w:val="clear" w:color="auto" w:fill="8DD873" w:themeFill="accent6" w:themeFillTint="99"/>
          </w:tcPr>
          <w:p w14:paraId="19049964" w14:textId="77777777" w:rsidR="008A65E6" w:rsidRPr="00D1021A" w:rsidRDefault="008A65E6" w:rsidP="008A63E5">
            <w:pPr>
              <w:spacing w:line="360" w:lineRule="auto"/>
              <w:rPr>
                <w:rFonts w:ascii="Poppins" w:hAnsi="Poppins" w:cs="Poppins"/>
                <w:sz w:val="24"/>
                <w:szCs w:val="24"/>
              </w:rPr>
            </w:pPr>
            <w:r w:rsidRPr="00D1021A">
              <w:rPr>
                <w:rFonts w:ascii="Poppins" w:hAnsi="Poppins" w:cs="Poppins"/>
                <w:sz w:val="24"/>
                <w:szCs w:val="24"/>
              </w:rPr>
              <w:t>4</w:t>
            </w:r>
          </w:p>
        </w:tc>
        <w:tc>
          <w:tcPr>
            <w:tcW w:w="8328" w:type="dxa"/>
          </w:tcPr>
          <w:p w14:paraId="607D591C" w14:textId="77777777" w:rsidR="008A65E6" w:rsidRPr="00D1021A" w:rsidRDefault="008A65E6" w:rsidP="008A63E5">
            <w:pPr>
              <w:spacing w:line="360" w:lineRule="auto"/>
              <w:rPr>
                <w:rFonts w:ascii="Poppins" w:hAnsi="Poppins" w:cs="Poppins"/>
                <w:sz w:val="24"/>
                <w:szCs w:val="24"/>
              </w:rPr>
            </w:pPr>
            <w:r w:rsidRPr="00D1021A">
              <w:rPr>
                <w:rFonts w:ascii="Poppins" w:hAnsi="Poppins" w:cs="Poppins"/>
                <w:sz w:val="24"/>
                <w:szCs w:val="24"/>
              </w:rPr>
              <w:t>Bildet eine Zwischenstufe ab</w:t>
            </w:r>
          </w:p>
        </w:tc>
      </w:tr>
      <w:tr w:rsidR="008A65E6" w:rsidRPr="00D1021A" w14:paraId="6620C382" w14:textId="77777777" w:rsidTr="00F7351E">
        <w:tc>
          <w:tcPr>
            <w:tcW w:w="562" w:type="dxa"/>
            <w:shd w:val="clear" w:color="auto" w:fill="D9F2D0" w:themeFill="accent6" w:themeFillTint="33"/>
          </w:tcPr>
          <w:p w14:paraId="2C37C0FD" w14:textId="77777777" w:rsidR="008A65E6" w:rsidRPr="00D1021A" w:rsidRDefault="008A65E6" w:rsidP="008A63E5">
            <w:pPr>
              <w:spacing w:line="360" w:lineRule="auto"/>
              <w:rPr>
                <w:rFonts w:ascii="Poppins" w:hAnsi="Poppins" w:cs="Poppins"/>
                <w:sz w:val="24"/>
                <w:szCs w:val="24"/>
              </w:rPr>
            </w:pPr>
            <w:r w:rsidRPr="00D1021A">
              <w:rPr>
                <w:rFonts w:ascii="Poppins" w:hAnsi="Poppins" w:cs="Poppins"/>
                <w:sz w:val="24"/>
                <w:szCs w:val="24"/>
              </w:rPr>
              <w:t>3</w:t>
            </w:r>
          </w:p>
        </w:tc>
        <w:tc>
          <w:tcPr>
            <w:tcW w:w="8328" w:type="dxa"/>
          </w:tcPr>
          <w:p w14:paraId="70781742" w14:textId="77777777" w:rsidR="004E5AA6" w:rsidRPr="00D1021A" w:rsidRDefault="004E5AA6" w:rsidP="004E5AA6">
            <w:pPr>
              <w:spacing w:line="360" w:lineRule="auto"/>
              <w:rPr>
                <w:rFonts w:ascii="Poppins" w:hAnsi="Poppins" w:cs="Poppins"/>
                <w:sz w:val="24"/>
                <w:szCs w:val="24"/>
              </w:rPr>
            </w:pPr>
            <w:r w:rsidRPr="00D1021A">
              <w:rPr>
                <w:rFonts w:ascii="Poppins" w:hAnsi="Poppins" w:cs="Poppins"/>
                <w:sz w:val="24"/>
                <w:szCs w:val="24"/>
              </w:rPr>
              <w:t>Zumindest manche Lernobjekte der Ressource können ohne</w:t>
            </w:r>
          </w:p>
          <w:p w14:paraId="4A213417" w14:textId="77777777" w:rsidR="004E5AA6" w:rsidRPr="00D1021A" w:rsidRDefault="004E5AA6" w:rsidP="004E5AA6">
            <w:pPr>
              <w:spacing w:line="360" w:lineRule="auto"/>
              <w:rPr>
                <w:rFonts w:ascii="Poppins" w:hAnsi="Poppins" w:cs="Poppins"/>
                <w:sz w:val="24"/>
                <w:szCs w:val="24"/>
              </w:rPr>
            </w:pPr>
            <w:r w:rsidRPr="00D1021A">
              <w:rPr>
                <w:rFonts w:ascii="Poppins" w:hAnsi="Poppins" w:cs="Poppins"/>
                <w:sz w:val="24"/>
                <w:szCs w:val="24"/>
              </w:rPr>
              <w:t>weitreichende Modifikationen auch in anderen Kontexten</w:t>
            </w:r>
          </w:p>
          <w:p w14:paraId="224C59E1" w14:textId="76D82C98" w:rsidR="008A65E6" w:rsidRPr="00D1021A" w:rsidRDefault="004E5AA6" w:rsidP="004E5AA6">
            <w:pPr>
              <w:spacing w:line="360" w:lineRule="auto"/>
              <w:rPr>
                <w:rFonts w:ascii="Poppins" w:hAnsi="Poppins" w:cs="Poppins"/>
                <w:sz w:val="24"/>
                <w:szCs w:val="24"/>
              </w:rPr>
            </w:pPr>
            <w:r w:rsidRPr="00D1021A">
              <w:rPr>
                <w:rFonts w:ascii="Poppins" w:hAnsi="Poppins" w:cs="Poppins"/>
                <w:sz w:val="24"/>
                <w:szCs w:val="24"/>
              </w:rPr>
              <w:t>eingesetzt werden.</w:t>
            </w:r>
          </w:p>
        </w:tc>
      </w:tr>
      <w:tr w:rsidR="008A65E6" w:rsidRPr="00D1021A" w14:paraId="7D6EBD98" w14:textId="77777777" w:rsidTr="00F7351E">
        <w:tc>
          <w:tcPr>
            <w:tcW w:w="562" w:type="dxa"/>
            <w:shd w:val="clear" w:color="auto" w:fill="FFFF00"/>
          </w:tcPr>
          <w:p w14:paraId="11F949F7" w14:textId="77777777" w:rsidR="008A65E6" w:rsidRPr="00D1021A" w:rsidRDefault="008A65E6" w:rsidP="008A63E5">
            <w:pPr>
              <w:spacing w:line="360" w:lineRule="auto"/>
              <w:rPr>
                <w:rFonts w:ascii="Poppins" w:hAnsi="Poppins" w:cs="Poppins"/>
                <w:sz w:val="24"/>
                <w:szCs w:val="24"/>
              </w:rPr>
            </w:pPr>
            <w:r w:rsidRPr="00D1021A">
              <w:rPr>
                <w:rFonts w:ascii="Poppins" w:hAnsi="Poppins" w:cs="Poppins"/>
                <w:sz w:val="24"/>
                <w:szCs w:val="24"/>
              </w:rPr>
              <w:t>2</w:t>
            </w:r>
          </w:p>
        </w:tc>
        <w:tc>
          <w:tcPr>
            <w:tcW w:w="8328" w:type="dxa"/>
          </w:tcPr>
          <w:p w14:paraId="23974640" w14:textId="77777777" w:rsidR="008A65E6" w:rsidRPr="00D1021A" w:rsidRDefault="008A65E6" w:rsidP="008A63E5">
            <w:pPr>
              <w:spacing w:line="360" w:lineRule="auto"/>
              <w:rPr>
                <w:rFonts w:ascii="Poppins" w:hAnsi="Poppins" w:cs="Poppins"/>
                <w:sz w:val="24"/>
                <w:szCs w:val="24"/>
              </w:rPr>
            </w:pPr>
            <w:r w:rsidRPr="00D1021A">
              <w:rPr>
                <w:rFonts w:ascii="Poppins" w:hAnsi="Poppins" w:cs="Poppins"/>
                <w:sz w:val="24"/>
                <w:szCs w:val="24"/>
              </w:rPr>
              <w:t>Bildet eine Zwischenstufe ab</w:t>
            </w:r>
          </w:p>
        </w:tc>
      </w:tr>
      <w:tr w:rsidR="008A65E6" w:rsidRPr="00D1021A" w14:paraId="15690D6D" w14:textId="77777777" w:rsidTr="00F7351E">
        <w:tc>
          <w:tcPr>
            <w:tcW w:w="562" w:type="dxa"/>
            <w:shd w:val="clear" w:color="auto" w:fill="FF0000"/>
          </w:tcPr>
          <w:p w14:paraId="1C6C60D7" w14:textId="77777777" w:rsidR="008A65E6" w:rsidRPr="00D1021A" w:rsidRDefault="008A65E6" w:rsidP="008A63E5">
            <w:pPr>
              <w:spacing w:line="360" w:lineRule="auto"/>
              <w:rPr>
                <w:rFonts w:ascii="Poppins" w:hAnsi="Poppins" w:cs="Poppins"/>
                <w:sz w:val="24"/>
                <w:szCs w:val="24"/>
              </w:rPr>
            </w:pPr>
            <w:r w:rsidRPr="00D1021A">
              <w:rPr>
                <w:rFonts w:ascii="Poppins" w:hAnsi="Poppins" w:cs="Poppins"/>
                <w:sz w:val="24"/>
                <w:szCs w:val="24"/>
              </w:rPr>
              <w:lastRenderedPageBreak/>
              <w:t>1</w:t>
            </w:r>
          </w:p>
        </w:tc>
        <w:tc>
          <w:tcPr>
            <w:tcW w:w="8328" w:type="dxa"/>
          </w:tcPr>
          <w:p w14:paraId="0E4D7731" w14:textId="77777777" w:rsidR="004E5AA6" w:rsidRPr="00D1021A" w:rsidRDefault="004E5AA6" w:rsidP="004E5AA6">
            <w:pPr>
              <w:spacing w:line="360" w:lineRule="auto"/>
              <w:rPr>
                <w:rFonts w:ascii="Poppins" w:hAnsi="Poppins" w:cs="Poppins"/>
                <w:sz w:val="24"/>
                <w:szCs w:val="24"/>
              </w:rPr>
            </w:pPr>
            <w:r w:rsidRPr="00D1021A">
              <w:rPr>
                <w:rFonts w:ascii="Poppins" w:hAnsi="Poppins" w:cs="Poppins"/>
                <w:sz w:val="24"/>
                <w:szCs w:val="24"/>
              </w:rPr>
              <w:t>Aufgrund von inhaltlicher Abhängigkeit ist es nicht möglich,</w:t>
            </w:r>
          </w:p>
          <w:p w14:paraId="4CE24343" w14:textId="77777777" w:rsidR="004E5AA6" w:rsidRPr="00D1021A" w:rsidRDefault="004E5AA6" w:rsidP="004E5AA6">
            <w:pPr>
              <w:spacing w:line="360" w:lineRule="auto"/>
              <w:rPr>
                <w:rFonts w:ascii="Poppins" w:hAnsi="Poppins" w:cs="Poppins"/>
                <w:sz w:val="24"/>
                <w:szCs w:val="24"/>
              </w:rPr>
            </w:pPr>
            <w:r w:rsidRPr="00D1021A">
              <w:rPr>
                <w:rFonts w:ascii="Poppins" w:hAnsi="Poppins" w:cs="Poppins"/>
                <w:sz w:val="24"/>
                <w:szCs w:val="24"/>
              </w:rPr>
              <w:t>Lernobjekte der Ressource in anderen Kontexten</w:t>
            </w:r>
          </w:p>
          <w:p w14:paraId="19596449" w14:textId="1F3B30AC" w:rsidR="008A65E6" w:rsidRPr="00D1021A" w:rsidRDefault="004E5AA6" w:rsidP="004E5AA6">
            <w:pPr>
              <w:spacing w:line="360" w:lineRule="auto"/>
              <w:rPr>
                <w:rFonts w:ascii="Poppins" w:hAnsi="Poppins" w:cs="Poppins"/>
                <w:sz w:val="24"/>
                <w:szCs w:val="24"/>
              </w:rPr>
            </w:pPr>
            <w:r w:rsidRPr="00D1021A">
              <w:rPr>
                <w:rFonts w:ascii="Poppins" w:hAnsi="Poppins" w:cs="Poppins"/>
                <w:sz w:val="24"/>
                <w:szCs w:val="24"/>
              </w:rPr>
              <w:t>wiederzuverwenden.</w:t>
            </w:r>
          </w:p>
        </w:tc>
      </w:tr>
    </w:tbl>
    <w:p w14:paraId="45E49A07" w14:textId="77777777" w:rsidR="00DC4BAE" w:rsidRPr="00D1021A" w:rsidRDefault="00DC4BAE" w:rsidP="009B614E">
      <w:pPr>
        <w:spacing w:line="360" w:lineRule="auto"/>
        <w:rPr>
          <w:rFonts w:ascii="Poppins" w:hAnsi="Poppins" w:cs="Poppins"/>
          <w:sz w:val="24"/>
          <w:szCs w:val="24"/>
        </w:rPr>
      </w:pPr>
    </w:p>
    <w:p w14:paraId="65C25219" w14:textId="7E0EA9FB" w:rsidR="00EB58BF" w:rsidRPr="00D1021A" w:rsidRDefault="00EB58BF" w:rsidP="009B614E">
      <w:pPr>
        <w:spacing w:line="360" w:lineRule="auto"/>
        <w:rPr>
          <w:rFonts w:ascii="Poppins" w:hAnsi="Poppins" w:cs="Poppins"/>
          <w:sz w:val="24"/>
          <w:szCs w:val="24"/>
        </w:rPr>
      </w:pPr>
      <w:r w:rsidRPr="00D1021A">
        <w:rPr>
          <w:rFonts w:ascii="Poppins" w:hAnsi="Poppins" w:cs="Poppins"/>
          <w:sz w:val="24"/>
          <w:szCs w:val="24"/>
        </w:rPr>
        <w:t>Items:</w:t>
      </w:r>
      <w:r w:rsidR="008A65E6" w:rsidRPr="00D1021A">
        <w:rPr>
          <w:rFonts w:ascii="Poppins" w:hAnsi="Poppins" w:cs="Poppins"/>
          <w:sz w:val="24"/>
          <w:szCs w:val="24"/>
        </w:rPr>
        <w:t xml:space="preserve"> Inhaltliche Wiederverwendbarkeit</w:t>
      </w:r>
    </w:p>
    <w:tbl>
      <w:tblPr>
        <w:tblStyle w:val="Tabellenraster"/>
        <w:tblW w:w="0" w:type="auto"/>
        <w:tblLook w:val="04A0" w:firstRow="1" w:lastRow="0" w:firstColumn="1" w:lastColumn="0" w:noHBand="0" w:noVBand="1"/>
      </w:tblPr>
      <w:tblGrid>
        <w:gridCol w:w="5807"/>
        <w:gridCol w:w="3083"/>
      </w:tblGrid>
      <w:tr w:rsidR="008A65E6" w:rsidRPr="00D1021A" w14:paraId="31EBE92D" w14:textId="77777777" w:rsidTr="008A63E5">
        <w:tc>
          <w:tcPr>
            <w:tcW w:w="5807" w:type="dxa"/>
          </w:tcPr>
          <w:p w14:paraId="13493F49" w14:textId="54F24928" w:rsidR="008A65E6" w:rsidRPr="00D1021A" w:rsidRDefault="00DC4BAE" w:rsidP="00F4227D">
            <w:pPr>
              <w:pStyle w:val="Listenabsatz"/>
              <w:numPr>
                <w:ilvl w:val="0"/>
                <w:numId w:val="15"/>
              </w:numPr>
              <w:spacing w:line="360" w:lineRule="auto"/>
              <w:rPr>
                <w:rFonts w:ascii="Poppins" w:hAnsi="Poppins" w:cs="Poppins"/>
                <w:sz w:val="24"/>
                <w:szCs w:val="24"/>
              </w:rPr>
            </w:pPr>
            <w:r w:rsidRPr="00D1021A">
              <w:rPr>
                <w:rFonts w:ascii="Poppins" w:hAnsi="Poppins" w:cs="Poppins"/>
                <w:sz w:val="24"/>
                <w:szCs w:val="24"/>
              </w:rPr>
              <w:t>Die Ressource beinhaltet oder besteht aus Lernobjekten, die ohne Modifikationen in Kursen oder anderen Kontexten (z. B. in einem Studiengang) eingesetzt werden können.</w:t>
            </w:r>
          </w:p>
        </w:tc>
        <w:tc>
          <w:tcPr>
            <w:tcW w:w="3083" w:type="dxa"/>
          </w:tcPr>
          <w:p w14:paraId="7C0DA124" w14:textId="77777777" w:rsidR="008A65E6" w:rsidRPr="00D1021A" w:rsidRDefault="008A65E6" w:rsidP="008A63E5">
            <w:pPr>
              <w:spacing w:line="360" w:lineRule="auto"/>
              <w:rPr>
                <w:rFonts w:ascii="Poppins" w:hAnsi="Poppins" w:cs="Poppins"/>
                <w:sz w:val="24"/>
                <w:szCs w:val="24"/>
              </w:rPr>
            </w:pPr>
            <w:r w:rsidRPr="00D1021A">
              <w:rPr>
                <w:rFonts w:ascii="Poppins" w:hAnsi="Poppins" w:cs="Poppins"/>
                <w:sz w:val="24"/>
                <w:szCs w:val="24"/>
              </w:rPr>
              <w:t>Hier entsprechend der fünfstufigen Skala bewerten.</w:t>
            </w:r>
          </w:p>
        </w:tc>
      </w:tr>
      <w:tr w:rsidR="008A65E6" w:rsidRPr="00D1021A" w14:paraId="179C238E" w14:textId="77777777" w:rsidTr="008A63E5">
        <w:tc>
          <w:tcPr>
            <w:tcW w:w="5807" w:type="dxa"/>
          </w:tcPr>
          <w:p w14:paraId="425D2A01" w14:textId="08AD83BF" w:rsidR="008A65E6" w:rsidRPr="00D1021A" w:rsidRDefault="00DC4BAE" w:rsidP="00F4227D">
            <w:pPr>
              <w:pStyle w:val="Listenabsatz"/>
              <w:numPr>
                <w:ilvl w:val="0"/>
                <w:numId w:val="15"/>
              </w:numPr>
              <w:spacing w:line="360" w:lineRule="auto"/>
              <w:rPr>
                <w:rFonts w:ascii="Poppins" w:hAnsi="Poppins" w:cs="Poppins"/>
                <w:sz w:val="24"/>
                <w:szCs w:val="24"/>
              </w:rPr>
            </w:pPr>
            <w:r w:rsidRPr="00D1021A">
              <w:rPr>
                <w:rFonts w:ascii="Poppins" w:hAnsi="Poppins" w:cs="Poppins"/>
                <w:sz w:val="24"/>
                <w:szCs w:val="24"/>
              </w:rPr>
              <w:t>Die Verwendung des Materials setzt nicht zwingend die Verwendung anderer Materialien voraus</w:t>
            </w:r>
          </w:p>
        </w:tc>
        <w:tc>
          <w:tcPr>
            <w:tcW w:w="3083" w:type="dxa"/>
          </w:tcPr>
          <w:p w14:paraId="0B214D38" w14:textId="77777777" w:rsidR="008A65E6" w:rsidRPr="00D1021A" w:rsidRDefault="008A65E6" w:rsidP="008A63E5">
            <w:pPr>
              <w:spacing w:line="360" w:lineRule="auto"/>
              <w:rPr>
                <w:rFonts w:ascii="Poppins" w:hAnsi="Poppins" w:cs="Poppins"/>
                <w:sz w:val="24"/>
                <w:szCs w:val="24"/>
              </w:rPr>
            </w:pPr>
          </w:p>
        </w:tc>
      </w:tr>
      <w:tr w:rsidR="008A65E6" w:rsidRPr="00D1021A" w14:paraId="26F9F265" w14:textId="77777777" w:rsidTr="008A63E5">
        <w:tc>
          <w:tcPr>
            <w:tcW w:w="5807" w:type="dxa"/>
          </w:tcPr>
          <w:p w14:paraId="5C0CB9A1" w14:textId="41A8DC75" w:rsidR="008A65E6" w:rsidRPr="00D1021A" w:rsidRDefault="00DC4BAE" w:rsidP="00F4227D">
            <w:pPr>
              <w:pStyle w:val="Listenabsatz"/>
              <w:numPr>
                <w:ilvl w:val="0"/>
                <w:numId w:val="15"/>
              </w:numPr>
              <w:spacing w:line="360" w:lineRule="auto"/>
              <w:rPr>
                <w:rFonts w:ascii="Poppins" w:hAnsi="Poppins" w:cs="Poppins"/>
                <w:sz w:val="24"/>
                <w:szCs w:val="24"/>
              </w:rPr>
            </w:pPr>
            <w:r w:rsidRPr="00D1021A">
              <w:rPr>
                <w:rFonts w:ascii="Poppins" w:hAnsi="Poppins" w:cs="Poppins"/>
                <w:sz w:val="24"/>
                <w:szCs w:val="24"/>
              </w:rPr>
              <w:t>Die OER steht in enger Verbindung zu anderen Materialien, deren Kenntnis eine Voraussetzung zum Verständnis der Inhalte bildet.</w:t>
            </w:r>
          </w:p>
        </w:tc>
        <w:tc>
          <w:tcPr>
            <w:tcW w:w="3083" w:type="dxa"/>
          </w:tcPr>
          <w:p w14:paraId="6F3A346B" w14:textId="77777777" w:rsidR="008A65E6" w:rsidRPr="00D1021A" w:rsidRDefault="008A65E6" w:rsidP="008A63E5">
            <w:pPr>
              <w:spacing w:line="360" w:lineRule="auto"/>
              <w:rPr>
                <w:rFonts w:ascii="Poppins" w:hAnsi="Poppins" w:cs="Poppins"/>
                <w:sz w:val="24"/>
                <w:szCs w:val="24"/>
              </w:rPr>
            </w:pPr>
          </w:p>
        </w:tc>
      </w:tr>
      <w:tr w:rsidR="008A65E6" w:rsidRPr="00D1021A" w14:paraId="6BA5C726" w14:textId="77777777" w:rsidTr="008A63E5">
        <w:tc>
          <w:tcPr>
            <w:tcW w:w="5807" w:type="dxa"/>
          </w:tcPr>
          <w:p w14:paraId="5DD4DA8A" w14:textId="2D2F8B35" w:rsidR="008A65E6" w:rsidRPr="00D1021A" w:rsidRDefault="00DC4BAE" w:rsidP="00F4227D">
            <w:pPr>
              <w:pStyle w:val="Listenabsatz"/>
              <w:numPr>
                <w:ilvl w:val="0"/>
                <w:numId w:val="15"/>
              </w:numPr>
              <w:spacing w:line="360" w:lineRule="auto"/>
              <w:rPr>
                <w:rFonts w:ascii="Poppins" w:hAnsi="Poppins" w:cs="Poppins"/>
                <w:sz w:val="24"/>
                <w:szCs w:val="24"/>
              </w:rPr>
            </w:pPr>
            <w:r w:rsidRPr="00D1021A">
              <w:rPr>
                <w:rFonts w:ascii="Poppins" w:hAnsi="Poppins" w:cs="Poppins"/>
                <w:sz w:val="24"/>
                <w:szCs w:val="24"/>
              </w:rPr>
              <w:t>Der Inhalt / die Inhalte des Materials sind klar abgegrenzt.</w:t>
            </w:r>
          </w:p>
        </w:tc>
        <w:tc>
          <w:tcPr>
            <w:tcW w:w="3083" w:type="dxa"/>
          </w:tcPr>
          <w:p w14:paraId="49D0D5C5" w14:textId="77777777" w:rsidR="008A65E6" w:rsidRPr="00D1021A" w:rsidRDefault="008A65E6" w:rsidP="008A63E5">
            <w:pPr>
              <w:spacing w:line="360" w:lineRule="auto"/>
              <w:rPr>
                <w:rFonts w:ascii="Poppins" w:hAnsi="Poppins" w:cs="Poppins"/>
                <w:sz w:val="24"/>
                <w:szCs w:val="24"/>
              </w:rPr>
            </w:pPr>
          </w:p>
        </w:tc>
      </w:tr>
      <w:tr w:rsidR="008A65E6" w:rsidRPr="00D1021A" w14:paraId="0D476FE2" w14:textId="77777777" w:rsidTr="008A63E5">
        <w:tc>
          <w:tcPr>
            <w:tcW w:w="5807" w:type="dxa"/>
          </w:tcPr>
          <w:p w14:paraId="51D5DBD0" w14:textId="06543B21" w:rsidR="008A65E6" w:rsidRPr="00D1021A" w:rsidRDefault="00DC4BAE" w:rsidP="00F4227D">
            <w:pPr>
              <w:pStyle w:val="Listenabsatz"/>
              <w:numPr>
                <w:ilvl w:val="0"/>
                <w:numId w:val="15"/>
              </w:numPr>
              <w:spacing w:line="360" w:lineRule="auto"/>
              <w:rPr>
                <w:rFonts w:ascii="Poppins" w:hAnsi="Poppins" w:cs="Poppins"/>
                <w:sz w:val="24"/>
                <w:szCs w:val="24"/>
              </w:rPr>
            </w:pPr>
            <w:r w:rsidRPr="00D1021A">
              <w:rPr>
                <w:rFonts w:ascii="Poppins" w:hAnsi="Poppins" w:cs="Poppins"/>
                <w:sz w:val="24"/>
                <w:szCs w:val="24"/>
              </w:rPr>
              <w:t>Das Lernmaterial ist inhaltlich in sich geschlossen.</w:t>
            </w:r>
          </w:p>
        </w:tc>
        <w:tc>
          <w:tcPr>
            <w:tcW w:w="3083" w:type="dxa"/>
          </w:tcPr>
          <w:p w14:paraId="145EA0B1" w14:textId="77777777" w:rsidR="008A65E6" w:rsidRPr="00D1021A" w:rsidRDefault="008A65E6" w:rsidP="008A63E5">
            <w:pPr>
              <w:spacing w:line="360" w:lineRule="auto"/>
              <w:rPr>
                <w:rFonts w:ascii="Poppins" w:hAnsi="Poppins" w:cs="Poppins"/>
                <w:sz w:val="24"/>
                <w:szCs w:val="24"/>
              </w:rPr>
            </w:pPr>
          </w:p>
        </w:tc>
      </w:tr>
    </w:tbl>
    <w:p w14:paraId="42814680" w14:textId="512E2455" w:rsidR="007E4FC9" w:rsidRPr="00D1021A" w:rsidRDefault="007E4FC9" w:rsidP="009B614E">
      <w:pPr>
        <w:spacing w:line="360" w:lineRule="auto"/>
        <w:rPr>
          <w:rFonts w:ascii="Poppins" w:hAnsi="Poppins" w:cs="Poppins"/>
          <w:sz w:val="24"/>
          <w:szCs w:val="24"/>
        </w:rPr>
      </w:pPr>
    </w:p>
    <w:p w14:paraId="64839A16" w14:textId="27E74AD5" w:rsidR="0040385C" w:rsidRPr="00D1021A" w:rsidRDefault="00046E90" w:rsidP="009B614E">
      <w:pPr>
        <w:pStyle w:val="berschrift2"/>
        <w:rPr>
          <w:rFonts w:ascii="Poppins" w:hAnsi="Poppins" w:cs="Poppins"/>
        </w:rPr>
      </w:pPr>
      <w:bookmarkStart w:id="97" w:name="_Toc177037321"/>
      <w:r w:rsidRPr="00D1021A">
        <w:rPr>
          <w:rFonts w:ascii="Poppins" w:hAnsi="Poppins" w:cs="Poppins"/>
        </w:rPr>
        <w:lastRenderedPageBreak/>
        <w:t>Konzeptionierung des Qualitätsmanagementsystems der HOOU</w:t>
      </w:r>
      <w:bookmarkEnd w:id="97"/>
    </w:p>
    <w:p w14:paraId="27BB2386" w14:textId="0B56058E" w:rsidR="0040385C" w:rsidRPr="00D1021A" w:rsidRDefault="00DC4BAE" w:rsidP="00E55947">
      <w:pPr>
        <w:spacing w:line="360" w:lineRule="auto"/>
        <w:ind w:left="-20"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Bei</w:t>
      </w:r>
      <w:r w:rsidR="00046E90" w:rsidRPr="00D1021A">
        <w:rPr>
          <w:rFonts w:ascii="Poppins" w:eastAsia="Aptos" w:hAnsi="Poppins" w:cs="Poppins"/>
          <w:color w:val="000000" w:themeColor="text1"/>
          <w:sz w:val="24"/>
          <w:szCs w:val="24"/>
        </w:rPr>
        <w:t xml:space="preserve"> Konzeptionierung eines QMS für die HOOU </w:t>
      </w:r>
      <w:r w:rsidRPr="00D1021A">
        <w:rPr>
          <w:rFonts w:ascii="Poppins" w:eastAsia="Aptos" w:hAnsi="Poppins" w:cs="Poppins"/>
          <w:color w:val="000000" w:themeColor="text1"/>
          <w:sz w:val="24"/>
          <w:szCs w:val="24"/>
        </w:rPr>
        <w:t>mussten</w:t>
      </w:r>
      <w:r w:rsidR="00046E90" w:rsidRPr="00D1021A">
        <w:rPr>
          <w:rFonts w:ascii="Poppins" w:eastAsia="Aptos" w:hAnsi="Poppins" w:cs="Poppins"/>
          <w:color w:val="000000" w:themeColor="text1"/>
          <w:sz w:val="24"/>
          <w:szCs w:val="24"/>
        </w:rPr>
        <w:t xml:space="preserve"> besondere Herausforderungen</w:t>
      </w:r>
      <w:r w:rsidRPr="00D1021A">
        <w:rPr>
          <w:rFonts w:ascii="Poppins" w:eastAsia="Aptos" w:hAnsi="Poppins" w:cs="Poppins"/>
          <w:color w:val="000000" w:themeColor="text1"/>
          <w:sz w:val="24"/>
          <w:szCs w:val="24"/>
        </w:rPr>
        <w:t xml:space="preserve"> berücksichtigt werden</w:t>
      </w:r>
      <w:r w:rsidR="00046E90" w:rsidRPr="00D1021A">
        <w:rPr>
          <w:rFonts w:ascii="Poppins" w:eastAsia="Aptos" w:hAnsi="Poppins" w:cs="Poppins"/>
          <w:color w:val="000000" w:themeColor="text1"/>
          <w:sz w:val="24"/>
          <w:szCs w:val="24"/>
        </w:rPr>
        <w:t>. Dazu gehör</w:t>
      </w:r>
      <w:r w:rsidRPr="00D1021A">
        <w:rPr>
          <w:rFonts w:ascii="Poppins" w:eastAsia="Aptos" w:hAnsi="Poppins" w:cs="Poppins"/>
          <w:color w:val="000000" w:themeColor="text1"/>
          <w:sz w:val="24"/>
          <w:szCs w:val="24"/>
        </w:rPr>
        <w:t>t</w:t>
      </w:r>
      <w:r w:rsidR="00046E90" w:rsidRPr="00D1021A">
        <w:rPr>
          <w:rFonts w:ascii="Poppins" w:eastAsia="Aptos" w:hAnsi="Poppins" w:cs="Poppins"/>
          <w:color w:val="000000" w:themeColor="text1"/>
          <w:sz w:val="24"/>
          <w:szCs w:val="24"/>
        </w:rPr>
        <w:t>en die schon beschriebenen Besonderheiten der Qualität im Bildungsbereich im Allgemeinen und die Besonderheiten von O</w:t>
      </w:r>
      <w:r w:rsidR="009123EE" w:rsidRPr="00D1021A">
        <w:rPr>
          <w:rFonts w:ascii="Poppins" w:eastAsia="Aptos" w:hAnsi="Poppins" w:cs="Poppins"/>
          <w:color w:val="000000" w:themeColor="text1"/>
          <w:sz w:val="24"/>
          <w:szCs w:val="24"/>
        </w:rPr>
        <w:t>ER</w:t>
      </w:r>
      <w:r w:rsidR="00046E90" w:rsidRPr="00D1021A">
        <w:rPr>
          <w:rFonts w:ascii="Poppins" w:eastAsia="Aptos" w:hAnsi="Poppins" w:cs="Poppins"/>
          <w:color w:val="000000" w:themeColor="text1"/>
          <w:sz w:val="24"/>
          <w:szCs w:val="24"/>
        </w:rPr>
        <w:t xml:space="preserve"> im Speziellen. Die Struktur der HOOU mit den verschiedenen Hochschulen und Fachkulturen </w:t>
      </w:r>
      <w:r w:rsidRPr="00D1021A">
        <w:rPr>
          <w:rFonts w:ascii="Poppins" w:eastAsia="Aptos" w:hAnsi="Poppins" w:cs="Poppins"/>
          <w:color w:val="000000" w:themeColor="text1"/>
          <w:sz w:val="24"/>
          <w:szCs w:val="24"/>
        </w:rPr>
        <w:t>mussten ebenfalls berücksichtigt und</w:t>
      </w:r>
      <w:r w:rsidR="00046E90" w:rsidRPr="00D1021A">
        <w:rPr>
          <w:rFonts w:ascii="Poppins" w:eastAsia="Aptos" w:hAnsi="Poppins" w:cs="Poppins"/>
          <w:color w:val="000000" w:themeColor="text1"/>
          <w:sz w:val="24"/>
          <w:szCs w:val="24"/>
        </w:rPr>
        <w:t xml:space="preserve"> bereits etablierte Prozesse einbezogen werden. Zur Konzeptionierung eines QMS gehörten daher die Auseinandersetzung mit der aktuellen Forschung zu den Themen, der Austausch mit anderen OER-Institutionen und vor allem die Kommunikation und die Diskussion der verschiedenen Verbundpartner der HOOU </w:t>
      </w:r>
      <w:r w:rsidRPr="00D1021A">
        <w:rPr>
          <w:rFonts w:ascii="Poppins" w:eastAsia="Aptos" w:hAnsi="Poppins" w:cs="Poppins"/>
          <w:color w:val="000000" w:themeColor="text1"/>
          <w:sz w:val="24"/>
          <w:szCs w:val="24"/>
        </w:rPr>
        <w:t>sowie</w:t>
      </w:r>
      <w:r w:rsidR="00046E90" w:rsidRPr="00D1021A">
        <w:rPr>
          <w:rFonts w:ascii="Poppins" w:eastAsia="Aptos" w:hAnsi="Poppins" w:cs="Poppins"/>
          <w:color w:val="000000" w:themeColor="text1"/>
          <w:sz w:val="24"/>
          <w:szCs w:val="24"/>
        </w:rPr>
        <w:t xml:space="preserve"> weiteren </w:t>
      </w:r>
      <w:r w:rsidR="003628A2" w:rsidRPr="00D1021A">
        <w:rPr>
          <w:rFonts w:ascii="Poppins" w:eastAsia="Aptos" w:hAnsi="Poppins" w:cs="Poppins"/>
          <w:color w:val="000000" w:themeColor="text1"/>
          <w:sz w:val="24"/>
          <w:szCs w:val="24"/>
        </w:rPr>
        <w:t>Stakeholdern</w:t>
      </w:r>
      <w:r w:rsidR="00046E90" w:rsidRPr="00D1021A">
        <w:rPr>
          <w:rFonts w:ascii="Poppins" w:eastAsia="Aptos" w:hAnsi="Poppins" w:cs="Poppins"/>
          <w:color w:val="000000" w:themeColor="text1"/>
          <w:sz w:val="24"/>
          <w:szCs w:val="24"/>
        </w:rPr>
        <w:t>.</w:t>
      </w:r>
    </w:p>
    <w:p w14:paraId="514E83E0" w14:textId="77777777" w:rsidR="0040385C" w:rsidRPr="00D1021A" w:rsidRDefault="00046E90" w:rsidP="00E55947">
      <w:pPr>
        <w:spacing w:line="360" w:lineRule="auto"/>
        <w:ind w:left="-20"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Grundlagen für die Entwicklung des QMS der HOOU bildeten folgenden Schritte:</w:t>
      </w:r>
    </w:p>
    <w:p w14:paraId="4C260B0E" w14:textId="6FF8FB11" w:rsidR="0040385C" w:rsidRPr="00D1021A" w:rsidRDefault="00046E90" w:rsidP="002004EB">
      <w:pPr>
        <w:pStyle w:val="Listenabsatz"/>
        <w:numPr>
          <w:ilvl w:val="0"/>
          <w:numId w:val="4"/>
        </w:numPr>
        <w:spacing w:after="0"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 xml:space="preserve">Arbeiten von </w:t>
      </w:r>
      <w:proofErr w:type="spellStart"/>
      <w:r w:rsidRPr="00D1021A">
        <w:rPr>
          <w:rFonts w:ascii="Poppins" w:eastAsia="Aptos" w:hAnsi="Poppins" w:cs="Poppins"/>
          <w:color w:val="000000" w:themeColor="text1"/>
          <w:sz w:val="24"/>
          <w:szCs w:val="24"/>
        </w:rPr>
        <w:t>Zawacki</w:t>
      </w:r>
      <w:proofErr w:type="spellEnd"/>
      <w:r w:rsidRPr="00D1021A">
        <w:rPr>
          <w:rFonts w:ascii="Poppins" w:eastAsia="Aptos" w:hAnsi="Poppins" w:cs="Poppins"/>
          <w:color w:val="000000" w:themeColor="text1"/>
          <w:sz w:val="24"/>
          <w:szCs w:val="24"/>
        </w:rPr>
        <w:t xml:space="preserve">-Richter, </w:t>
      </w:r>
      <w:proofErr w:type="spellStart"/>
      <w:r w:rsidRPr="00D1021A">
        <w:rPr>
          <w:rFonts w:ascii="Poppins" w:eastAsia="Aptos" w:hAnsi="Poppins" w:cs="Poppins"/>
          <w:color w:val="000000" w:themeColor="text1"/>
          <w:sz w:val="24"/>
          <w:szCs w:val="24"/>
        </w:rPr>
        <w:t>Mayrberger</w:t>
      </w:r>
      <w:proofErr w:type="spellEnd"/>
      <w:r w:rsidRPr="00D1021A">
        <w:rPr>
          <w:rFonts w:ascii="Poppins" w:eastAsia="Aptos" w:hAnsi="Poppins" w:cs="Poppins"/>
          <w:color w:val="000000" w:themeColor="text1"/>
          <w:sz w:val="24"/>
          <w:szCs w:val="24"/>
        </w:rPr>
        <w:t xml:space="preserve"> und </w:t>
      </w:r>
      <w:proofErr w:type="spellStart"/>
      <w:r w:rsidRPr="00D1021A">
        <w:rPr>
          <w:rFonts w:ascii="Poppins" w:eastAsia="Aptos" w:hAnsi="Poppins" w:cs="Poppins"/>
          <w:color w:val="000000" w:themeColor="text1"/>
          <w:sz w:val="24"/>
          <w:szCs w:val="24"/>
        </w:rPr>
        <w:t>Müskens</w:t>
      </w:r>
      <w:proofErr w:type="spellEnd"/>
      <w:r w:rsidRPr="00D1021A">
        <w:rPr>
          <w:rFonts w:ascii="Poppins" w:eastAsia="Aptos" w:hAnsi="Poppins" w:cs="Poppins"/>
          <w:color w:val="000000" w:themeColor="text1"/>
          <w:sz w:val="24"/>
          <w:szCs w:val="24"/>
        </w:rPr>
        <w:t xml:space="preserve"> </w:t>
      </w:r>
      <w:r w:rsidR="005D2DED" w:rsidRPr="00D1021A">
        <w:rPr>
          <w:rFonts w:ascii="Poppins" w:eastAsia="Aptos" w:hAnsi="Poppins" w:cs="Poppins"/>
          <w:color w:val="000000" w:themeColor="text1"/>
          <w:sz w:val="24"/>
          <w:szCs w:val="24"/>
        </w:rPr>
        <w:t xml:space="preserve">und Weiteren </w:t>
      </w:r>
      <w:r w:rsidRPr="00D1021A">
        <w:rPr>
          <w:rFonts w:ascii="Poppins" w:eastAsia="Aptos" w:hAnsi="Poppins" w:cs="Poppins"/>
          <w:color w:val="000000" w:themeColor="text1"/>
          <w:sz w:val="24"/>
          <w:szCs w:val="24"/>
        </w:rPr>
        <w:t>(2017/2018</w:t>
      </w:r>
      <w:r w:rsidR="005D2DED" w:rsidRPr="00D1021A">
        <w:rPr>
          <w:rFonts w:ascii="Poppins" w:eastAsia="Aptos" w:hAnsi="Poppins" w:cs="Poppins"/>
          <w:color w:val="000000" w:themeColor="text1"/>
          <w:sz w:val="24"/>
          <w:szCs w:val="24"/>
        </w:rPr>
        <w:t>/2022</w:t>
      </w:r>
      <w:r w:rsidRPr="00D1021A">
        <w:rPr>
          <w:rFonts w:ascii="Poppins" w:eastAsia="Aptos" w:hAnsi="Poppins" w:cs="Poppins"/>
          <w:color w:val="000000" w:themeColor="text1"/>
          <w:sz w:val="24"/>
          <w:szCs w:val="24"/>
        </w:rPr>
        <w:t xml:space="preserve">) zur Bestandsaufnahme von OER-Prüfinstrumenten und zur Entwicklung </w:t>
      </w:r>
      <w:r w:rsidR="0067273A" w:rsidRPr="00D1021A">
        <w:rPr>
          <w:rFonts w:ascii="Poppins" w:eastAsia="Aptos" w:hAnsi="Poppins" w:cs="Poppins"/>
          <w:color w:val="000000" w:themeColor="text1"/>
          <w:sz w:val="24"/>
          <w:szCs w:val="24"/>
        </w:rPr>
        <w:t xml:space="preserve">und statistischen Validierung </w:t>
      </w:r>
      <w:r w:rsidRPr="00D1021A">
        <w:rPr>
          <w:rFonts w:ascii="Poppins" w:eastAsia="Aptos" w:hAnsi="Poppins" w:cs="Poppins"/>
          <w:color w:val="000000" w:themeColor="text1"/>
          <w:sz w:val="24"/>
          <w:szCs w:val="24"/>
        </w:rPr>
        <w:t>ein</w:t>
      </w:r>
      <w:r w:rsidR="0067273A" w:rsidRPr="00D1021A">
        <w:rPr>
          <w:rFonts w:ascii="Poppins" w:eastAsia="Aptos" w:hAnsi="Poppins" w:cs="Poppins"/>
          <w:color w:val="000000" w:themeColor="text1"/>
          <w:sz w:val="24"/>
          <w:szCs w:val="24"/>
        </w:rPr>
        <w:t>e</w:t>
      </w:r>
      <w:r w:rsidRPr="00D1021A">
        <w:rPr>
          <w:rFonts w:ascii="Poppins" w:eastAsia="Aptos" w:hAnsi="Poppins" w:cs="Poppins"/>
          <w:color w:val="000000" w:themeColor="text1"/>
          <w:sz w:val="24"/>
          <w:szCs w:val="24"/>
        </w:rPr>
        <w:t>s Qualitätskriterienkatalogs für OER am Beispiel der HOOU</w:t>
      </w:r>
    </w:p>
    <w:p w14:paraId="6A82FA64" w14:textId="39EEFB02" w:rsidR="0040385C" w:rsidRPr="00D1021A" w:rsidRDefault="00046E90" w:rsidP="002004EB">
      <w:pPr>
        <w:pStyle w:val="Listenabsatz"/>
        <w:numPr>
          <w:ilvl w:val="0"/>
          <w:numId w:val="4"/>
        </w:numPr>
        <w:spacing w:after="0"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Durchführung einer Befragung aller HOOU-Mitarbeitende</w:t>
      </w:r>
      <w:r w:rsidR="00147044" w:rsidRPr="00D1021A">
        <w:rPr>
          <w:rFonts w:ascii="Poppins" w:eastAsia="Aptos" w:hAnsi="Poppins" w:cs="Poppins"/>
          <w:color w:val="000000" w:themeColor="text1"/>
          <w:sz w:val="24"/>
          <w:szCs w:val="24"/>
        </w:rPr>
        <w:t>n</w:t>
      </w:r>
      <w:r w:rsidRPr="00D1021A">
        <w:rPr>
          <w:rFonts w:ascii="Poppins" w:eastAsia="Aptos" w:hAnsi="Poppins" w:cs="Poppins"/>
          <w:color w:val="000000" w:themeColor="text1"/>
          <w:sz w:val="24"/>
          <w:szCs w:val="24"/>
        </w:rPr>
        <w:t xml:space="preserve"> zum Thema QMS für die HOOU, Austausch über bestehende Prozesse</w:t>
      </w:r>
      <w:r w:rsidR="005D2DED" w:rsidRPr="00D1021A">
        <w:rPr>
          <w:rFonts w:ascii="Poppins" w:eastAsia="Aptos" w:hAnsi="Poppins" w:cs="Poppins"/>
          <w:color w:val="000000" w:themeColor="text1"/>
          <w:sz w:val="24"/>
          <w:szCs w:val="24"/>
        </w:rPr>
        <w:t xml:space="preserve"> (Anders &amp; </w:t>
      </w:r>
      <w:proofErr w:type="spellStart"/>
      <w:r w:rsidR="005D2DED" w:rsidRPr="00D1021A">
        <w:rPr>
          <w:rFonts w:ascii="Poppins" w:eastAsia="Aptos" w:hAnsi="Poppins" w:cs="Poppins"/>
          <w:color w:val="000000" w:themeColor="text1"/>
          <w:sz w:val="24"/>
          <w:szCs w:val="24"/>
        </w:rPr>
        <w:t>Watolla</w:t>
      </w:r>
      <w:proofErr w:type="spellEnd"/>
      <w:r w:rsidR="005D2DED" w:rsidRPr="00D1021A">
        <w:rPr>
          <w:rFonts w:ascii="Poppins" w:eastAsia="Aptos" w:hAnsi="Poppins" w:cs="Poppins"/>
          <w:color w:val="000000" w:themeColor="text1"/>
          <w:sz w:val="24"/>
          <w:szCs w:val="24"/>
        </w:rPr>
        <w:t>, 2021)</w:t>
      </w:r>
    </w:p>
    <w:p w14:paraId="3DCCB428" w14:textId="202060F5" w:rsidR="0040385C" w:rsidRPr="00D1021A" w:rsidRDefault="00046E90" w:rsidP="002004EB">
      <w:pPr>
        <w:pStyle w:val="Listenabsatz"/>
        <w:numPr>
          <w:ilvl w:val="0"/>
          <w:numId w:val="4"/>
        </w:numPr>
        <w:spacing w:after="0"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Befragung ehemaliger Projektbeteiligte</w:t>
      </w:r>
      <w:r w:rsidR="00147044" w:rsidRPr="00D1021A">
        <w:rPr>
          <w:rFonts w:ascii="Poppins" w:eastAsia="Aptos" w:hAnsi="Poppins" w:cs="Poppins"/>
          <w:color w:val="000000" w:themeColor="text1"/>
          <w:sz w:val="24"/>
          <w:szCs w:val="24"/>
        </w:rPr>
        <w:t>r</w:t>
      </w:r>
      <w:r w:rsidRPr="00D1021A">
        <w:rPr>
          <w:rFonts w:ascii="Poppins" w:eastAsia="Aptos" w:hAnsi="Poppins" w:cs="Poppins"/>
          <w:color w:val="000000" w:themeColor="text1"/>
          <w:sz w:val="24"/>
          <w:szCs w:val="24"/>
        </w:rPr>
        <w:t xml:space="preserve"> der HOOU zum Thema QM und Qualitätskriterien von OER</w:t>
      </w:r>
    </w:p>
    <w:p w14:paraId="71283699" w14:textId="701FEE3B" w:rsidR="0040385C" w:rsidRPr="00D1021A" w:rsidRDefault="00046E90" w:rsidP="002004EB">
      <w:pPr>
        <w:pStyle w:val="Listenabsatz"/>
        <w:numPr>
          <w:ilvl w:val="0"/>
          <w:numId w:val="4"/>
        </w:numPr>
        <w:spacing w:after="0"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lastRenderedPageBreak/>
        <w:t>Praktische Testung und Erprobung des OER-</w:t>
      </w:r>
      <w:proofErr w:type="spellStart"/>
      <w:r w:rsidRPr="00D1021A">
        <w:rPr>
          <w:rFonts w:ascii="Poppins" w:eastAsia="Aptos" w:hAnsi="Poppins" w:cs="Poppins"/>
          <w:color w:val="000000" w:themeColor="text1"/>
          <w:sz w:val="24"/>
          <w:szCs w:val="24"/>
        </w:rPr>
        <w:t>Qualitätskriteriensets</w:t>
      </w:r>
      <w:proofErr w:type="spellEnd"/>
      <w:r w:rsidRPr="00D1021A">
        <w:rPr>
          <w:rFonts w:ascii="Poppins" w:eastAsia="Aptos" w:hAnsi="Poppins" w:cs="Poppins"/>
          <w:color w:val="000000" w:themeColor="text1"/>
          <w:sz w:val="24"/>
          <w:szCs w:val="24"/>
        </w:rPr>
        <w:t xml:space="preserve"> von </w:t>
      </w:r>
      <w:proofErr w:type="spellStart"/>
      <w:r w:rsidRPr="00D1021A">
        <w:rPr>
          <w:rFonts w:ascii="Poppins" w:eastAsia="Aptos" w:hAnsi="Poppins" w:cs="Poppins"/>
          <w:color w:val="000000" w:themeColor="text1"/>
          <w:sz w:val="24"/>
          <w:szCs w:val="24"/>
        </w:rPr>
        <w:t>Zawacki</w:t>
      </w:r>
      <w:proofErr w:type="spellEnd"/>
      <w:r w:rsidRPr="00D1021A">
        <w:rPr>
          <w:rFonts w:ascii="Poppins" w:eastAsia="Aptos" w:hAnsi="Poppins" w:cs="Poppins"/>
          <w:color w:val="000000" w:themeColor="text1"/>
          <w:sz w:val="24"/>
          <w:szCs w:val="24"/>
        </w:rPr>
        <w:t>-Richter</w:t>
      </w:r>
      <w:r w:rsidR="00147044" w:rsidRPr="00D1021A">
        <w:rPr>
          <w:rFonts w:ascii="Poppins" w:eastAsia="Aptos" w:hAnsi="Poppins" w:cs="Poppins"/>
          <w:color w:val="000000" w:themeColor="text1"/>
          <w:sz w:val="24"/>
          <w:szCs w:val="24"/>
        </w:rPr>
        <w:t xml:space="preserve">, </w:t>
      </w:r>
      <w:proofErr w:type="spellStart"/>
      <w:r w:rsidRPr="00D1021A">
        <w:rPr>
          <w:rFonts w:ascii="Poppins" w:eastAsia="Aptos" w:hAnsi="Poppins" w:cs="Poppins"/>
          <w:color w:val="000000" w:themeColor="text1"/>
          <w:sz w:val="24"/>
          <w:szCs w:val="24"/>
        </w:rPr>
        <w:t>Mayrberger</w:t>
      </w:r>
      <w:proofErr w:type="spellEnd"/>
      <w:r w:rsidR="00147044" w:rsidRPr="00D1021A">
        <w:rPr>
          <w:rFonts w:ascii="Poppins" w:eastAsia="Aptos" w:hAnsi="Poppins" w:cs="Poppins"/>
          <w:color w:val="000000" w:themeColor="text1"/>
          <w:sz w:val="24"/>
          <w:szCs w:val="24"/>
        </w:rPr>
        <w:t xml:space="preserve"> und </w:t>
      </w:r>
      <w:proofErr w:type="spellStart"/>
      <w:r w:rsidRPr="00D1021A">
        <w:rPr>
          <w:rFonts w:ascii="Poppins" w:eastAsia="Aptos" w:hAnsi="Poppins" w:cs="Poppins"/>
          <w:color w:val="000000" w:themeColor="text1"/>
          <w:sz w:val="24"/>
          <w:szCs w:val="24"/>
        </w:rPr>
        <w:t>Müskens</w:t>
      </w:r>
      <w:proofErr w:type="spellEnd"/>
      <w:r w:rsidRPr="00D1021A">
        <w:rPr>
          <w:rFonts w:ascii="Poppins" w:eastAsia="Aptos" w:hAnsi="Poppins" w:cs="Poppins"/>
          <w:color w:val="000000" w:themeColor="text1"/>
          <w:sz w:val="24"/>
          <w:szCs w:val="24"/>
        </w:rPr>
        <w:t xml:space="preserve"> durch HOOU-Mitarbeitende: Aufbereitung der Ergebnisse und Einigung auf Nutzung dieses Sets, Einigung auf die vier HOOU-Pflichtkriterien</w:t>
      </w:r>
    </w:p>
    <w:p w14:paraId="469E3593" w14:textId="77777777" w:rsidR="001D41FB" w:rsidRPr="00D1021A" w:rsidRDefault="001D41FB" w:rsidP="00E55947">
      <w:pPr>
        <w:spacing w:after="0" w:line="360" w:lineRule="auto"/>
        <w:ind w:right="-20"/>
        <w:rPr>
          <w:rFonts w:ascii="Poppins" w:eastAsia="Aptos" w:hAnsi="Poppins" w:cs="Poppins"/>
          <w:color w:val="000000" w:themeColor="text1"/>
          <w:sz w:val="24"/>
          <w:szCs w:val="24"/>
        </w:rPr>
      </w:pPr>
    </w:p>
    <w:p w14:paraId="7C22920C" w14:textId="0FC1FD04" w:rsidR="00067637" w:rsidRPr="00D1021A" w:rsidRDefault="001D41FB" w:rsidP="00E55947">
      <w:pPr>
        <w:spacing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 xml:space="preserve">Die Befragung und Diskussion der Mitarbeitenden der HOOU als auch die Befragungen und der Austausch mit HOOU-Projekten haben </w:t>
      </w:r>
      <w:proofErr w:type="spellStart"/>
      <w:r w:rsidRPr="00D1021A">
        <w:rPr>
          <w:rFonts w:ascii="Poppins" w:eastAsia="Aptos" w:hAnsi="Poppins" w:cs="Poppins"/>
          <w:color w:val="000000" w:themeColor="text1"/>
          <w:sz w:val="24"/>
          <w:szCs w:val="24"/>
        </w:rPr>
        <w:t>Zawacki</w:t>
      </w:r>
      <w:proofErr w:type="spellEnd"/>
      <w:r w:rsidRPr="00D1021A">
        <w:rPr>
          <w:rFonts w:ascii="Poppins" w:eastAsia="Aptos" w:hAnsi="Poppins" w:cs="Poppins"/>
          <w:color w:val="000000" w:themeColor="text1"/>
          <w:sz w:val="24"/>
          <w:szCs w:val="24"/>
        </w:rPr>
        <w:t xml:space="preserve">-Richter, </w:t>
      </w:r>
      <w:proofErr w:type="spellStart"/>
      <w:r w:rsidRPr="00D1021A">
        <w:rPr>
          <w:rFonts w:ascii="Poppins" w:eastAsia="Aptos" w:hAnsi="Poppins" w:cs="Poppins"/>
          <w:color w:val="000000" w:themeColor="text1"/>
          <w:sz w:val="24"/>
          <w:szCs w:val="24"/>
        </w:rPr>
        <w:t>Mayrberger</w:t>
      </w:r>
      <w:proofErr w:type="spellEnd"/>
      <w:r w:rsidRPr="00D1021A">
        <w:rPr>
          <w:rFonts w:ascii="Poppins" w:eastAsia="Aptos" w:hAnsi="Poppins" w:cs="Poppins"/>
          <w:color w:val="000000" w:themeColor="text1"/>
          <w:sz w:val="24"/>
          <w:szCs w:val="24"/>
        </w:rPr>
        <w:t xml:space="preserve"> und </w:t>
      </w:r>
      <w:proofErr w:type="spellStart"/>
      <w:r w:rsidRPr="00D1021A">
        <w:rPr>
          <w:rFonts w:ascii="Poppins" w:eastAsia="Aptos" w:hAnsi="Poppins" w:cs="Poppins"/>
          <w:color w:val="000000" w:themeColor="text1"/>
          <w:sz w:val="24"/>
          <w:szCs w:val="24"/>
        </w:rPr>
        <w:t>Müskens</w:t>
      </w:r>
      <w:proofErr w:type="spellEnd"/>
      <w:r w:rsidRPr="00D1021A">
        <w:rPr>
          <w:rFonts w:ascii="Poppins" w:eastAsia="Aptos" w:hAnsi="Poppins" w:cs="Poppins"/>
          <w:color w:val="000000" w:themeColor="text1"/>
          <w:sz w:val="24"/>
          <w:szCs w:val="24"/>
        </w:rPr>
        <w:t xml:space="preserve"> (2017/</w:t>
      </w:r>
      <w:r w:rsidR="00BA111B" w:rsidRPr="00D1021A">
        <w:rPr>
          <w:rFonts w:ascii="Poppins" w:eastAsia="Aptos" w:hAnsi="Poppins" w:cs="Poppins"/>
          <w:color w:val="000000" w:themeColor="text1"/>
          <w:sz w:val="24"/>
          <w:szCs w:val="24"/>
        </w:rPr>
        <w:t>20</w:t>
      </w:r>
      <w:r w:rsidRPr="00D1021A">
        <w:rPr>
          <w:rFonts w:ascii="Poppins" w:eastAsia="Aptos" w:hAnsi="Poppins" w:cs="Poppins"/>
          <w:color w:val="000000" w:themeColor="text1"/>
          <w:sz w:val="24"/>
          <w:szCs w:val="24"/>
        </w:rPr>
        <w:t>18) in ihrer Aussage bestätigt, dass die HOOU eine Form der Qualitätssicherung benötigt, die auf der einen Seite Richtlinien und ein</w:t>
      </w:r>
      <w:r w:rsidR="00DC4BAE" w:rsidRPr="00D1021A">
        <w:rPr>
          <w:rFonts w:ascii="Poppins" w:eastAsia="Aptos" w:hAnsi="Poppins" w:cs="Poppins"/>
          <w:color w:val="000000" w:themeColor="text1"/>
          <w:sz w:val="24"/>
          <w:szCs w:val="24"/>
        </w:rPr>
        <w:t>e Rahmung</w:t>
      </w:r>
      <w:r w:rsidRPr="00D1021A">
        <w:rPr>
          <w:rFonts w:ascii="Poppins" w:eastAsia="Aptos" w:hAnsi="Poppins" w:cs="Poppins"/>
          <w:color w:val="000000" w:themeColor="text1"/>
          <w:sz w:val="24"/>
          <w:szCs w:val="24"/>
        </w:rPr>
        <w:t xml:space="preserve"> zur Orientierung schafft und auf der anderen Seite viel Raum für Kreativität und Innovationen lässt, um das Potenzial von OER voll ausschöpfen zu können. </w:t>
      </w:r>
      <w:r w:rsidR="00DC4BAE" w:rsidRPr="00D1021A">
        <w:rPr>
          <w:rFonts w:ascii="Poppins" w:eastAsia="Aptos" w:hAnsi="Poppins" w:cs="Poppins"/>
          <w:color w:val="000000" w:themeColor="text1"/>
          <w:sz w:val="24"/>
          <w:szCs w:val="24"/>
        </w:rPr>
        <w:t>Besonders für die künstlerischen Hochschulen im HOOU-Verbund ist dies von Bedeutung.</w:t>
      </w:r>
    </w:p>
    <w:p w14:paraId="03E06643" w14:textId="5E3CCEBF" w:rsidR="00067637" w:rsidRPr="006416ED" w:rsidRDefault="00067637" w:rsidP="00E55947">
      <w:pPr>
        <w:spacing w:line="360" w:lineRule="auto"/>
        <w:ind w:right="-20"/>
        <w:rPr>
          <w:rStyle w:val="IntensiveHervorhebung"/>
          <w:color w:val="auto"/>
          <w:sz w:val="24"/>
          <w:szCs w:val="24"/>
        </w:rPr>
      </w:pPr>
      <w:r w:rsidRPr="006416ED">
        <w:rPr>
          <w:rStyle w:val="IntensiveHervorhebung"/>
          <w:color w:val="auto"/>
          <w:sz w:val="24"/>
          <w:szCs w:val="24"/>
        </w:rPr>
        <w:t xml:space="preserve">„Der Wunsch nach einem gewissen Grad an Homogenisierung und Standardisierung sowie das Anliegen, die Vielfältigkeit und die Autonomie der Hochschulen dabei nicht zu sehr einzuschränken, stellen für die Entwicklung eines QMS für die HOOU einen gewissen Widerspruch dar. Daher sollte eine standardisierte Qualitätssicherung bei gleichbleibender Offenheit von Inhalten und Strukturen angestrebt werden. Hier bedarf es einer Sensibilisierung aller Beteiligten, der Bereitschaft zu Kompromissen und im Idealfall gar einer Auflösung dieser Widersprüche durch eine Einigung auf eine gemeinsam gelebte Prozessstruktur sowie Dokumente, die gleichzeitig Raum für individuelle Bedürfnisse der verschiedenen </w:t>
      </w:r>
      <w:proofErr w:type="spellStart"/>
      <w:proofErr w:type="gramStart"/>
      <w:r w:rsidRPr="006416ED">
        <w:rPr>
          <w:rStyle w:val="IntensiveHervorhebung"/>
          <w:color w:val="auto"/>
          <w:sz w:val="24"/>
          <w:szCs w:val="24"/>
        </w:rPr>
        <w:t>Akteur:innen</w:t>
      </w:r>
      <w:proofErr w:type="spellEnd"/>
      <w:proofErr w:type="gramEnd"/>
      <w:r w:rsidRPr="006416ED">
        <w:rPr>
          <w:rStyle w:val="IntensiveHervorhebung"/>
          <w:color w:val="auto"/>
          <w:sz w:val="24"/>
          <w:szCs w:val="24"/>
        </w:rPr>
        <w:t xml:space="preserve"> lässt“ (</w:t>
      </w:r>
      <w:bookmarkStart w:id="98" w:name="_Hlk174098983"/>
      <w:r w:rsidRPr="006416ED">
        <w:rPr>
          <w:rStyle w:val="IntensiveHervorhebung"/>
          <w:color w:val="auto"/>
          <w:sz w:val="24"/>
          <w:szCs w:val="24"/>
        </w:rPr>
        <w:t>Anders</w:t>
      </w:r>
      <w:r w:rsidR="005D2DED" w:rsidRPr="006416ED">
        <w:rPr>
          <w:rStyle w:val="IntensiveHervorhebung"/>
          <w:color w:val="auto"/>
          <w:sz w:val="24"/>
          <w:szCs w:val="24"/>
        </w:rPr>
        <w:t xml:space="preserve"> &amp;</w:t>
      </w:r>
      <w:r w:rsidRPr="006416ED">
        <w:rPr>
          <w:rStyle w:val="IntensiveHervorhebung"/>
          <w:color w:val="auto"/>
          <w:sz w:val="24"/>
          <w:szCs w:val="24"/>
        </w:rPr>
        <w:t xml:space="preserve"> </w:t>
      </w:r>
      <w:proofErr w:type="spellStart"/>
      <w:r w:rsidRPr="006416ED">
        <w:rPr>
          <w:rStyle w:val="IntensiveHervorhebung"/>
          <w:color w:val="auto"/>
          <w:sz w:val="24"/>
          <w:szCs w:val="24"/>
        </w:rPr>
        <w:t>Watolla</w:t>
      </w:r>
      <w:proofErr w:type="spellEnd"/>
      <w:r w:rsidRPr="006416ED">
        <w:rPr>
          <w:rStyle w:val="IntensiveHervorhebung"/>
          <w:color w:val="auto"/>
          <w:sz w:val="24"/>
          <w:szCs w:val="24"/>
        </w:rPr>
        <w:t>, 2021, S. 21)</w:t>
      </w:r>
      <w:bookmarkEnd w:id="98"/>
      <w:r w:rsidRPr="006416ED">
        <w:rPr>
          <w:rStyle w:val="IntensiveHervorhebung"/>
          <w:color w:val="auto"/>
          <w:sz w:val="24"/>
          <w:szCs w:val="24"/>
        </w:rPr>
        <w:t>.</w:t>
      </w:r>
    </w:p>
    <w:p w14:paraId="0E7B5FE3" w14:textId="288B77DC" w:rsidR="00DC4BAE" w:rsidRPr="00D1021A" w:rsidRDefault="001D41FB" w:rsidP="00E55947">
      <w:pPr>
        <w:spacing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Auch die praktische Testung der Qualitätskriterien durch Mitarbeitende der HOOU hat ergeben, dass neben klaren Vorgaben (Checkliste</w:t>
      </w:r>
      <w:r w:rsidR="00147044" w:rsidRPr="00D1021A">
        <w:rPr>
          <w:rFonts w:ascii="Poppins" w:eastAsia="Aptos" w:hAnsi="Poppins" w:cs="Poppins"/>
          <w:color w:val="000000" w:themeColor="text1"/>
          <w:sz w:val="24"/>
          <w:szCs w:val="24"/>
        </w:rPr>
        <w:t>n</w:t>
      </w:r>
      <w:r w:rsidRPr="00D1021A">
        <w:rPr>
          <w:rFonts w:ascii="Poppins" w:eastAsia="Aptos" w:hAnsi="Poppins" w:cs="Poppins"/>
          <w:color w:val="000000" w:themeColor="text1"/>
          <w:sz w:val="24"/>
          <w:szCs w:val="24"/>
        </w:rPr>
        <w:t xml:space="preserve">) Raum für Diskussion und Austausch gegeben sein muss, um die bestmögliche Lösung für ein spezifisches Lernangebot zu erreichen. Während sich die </w:t>
      </w:r>
      <w:r w:rsidRPr="00D1021A">
        <w:rPr>
          <w:rFonts w:ascii="Poppins" w:eastAsia="Aptos" w:hAnsi="Poppins" w:cs="Poppins"/>
          <w:color w:val="000000" w:themeColor="text1"/>
          <w:sz w:val="24"/>
          <w:szCs w:val="24"/>
        </w:rPr>
        <w:lastRenderedPageBreak/>
        <w:t xml:space="preserve">Korrektheit von Lizenzangaben beispielsweise </w:t>
      </w:r>
      <w:r w:rsidR="00AC3B96" w:rsidRPr="00D1021A">
        <w:rPr>
          <w:rFonts w:ascii="Poppins" w:eastAsia="Aptos" w:hAnsi="Poppins" w:cs="Poppins"/>
          <w:color w:val="000000" w:themeColor="text1"/>
          <w:sz w:val="24"/>
          <w:szCs w:val="24"/>
        </w:rPr>
        <w:t xml:space="preserve">oftmals </w:t>
      </w:r>
      <w:r w:rsidRPr="00D1021A">
        <w:rPr>
          <w:rFonts w:ascii="Poppins" w:eastAsia="Aptos" w:hAnsi="Poppins" w:cs="Poppins"/>
          <w:color w:val="000000" w:themeColor="text1"/>
          <w:sz w:val="24"/>
          <w:szCs w:val="24"/>
        </w:rPr>
        <w:t>schnell überprüfen lassen</w:t>
      </w:r>
      <w:r w:rsidR="00AC3B96" w:rsidRPr="00D1021A">
        <w:rPr>
          <w:rFonts w:ascii="Poppins" w:eastAsia="Aptos" w:hAnsi="Poppins" w:cs="Poppins"/>
          <w:color w:val="000000" w:themeColor="text1"/>
          <w:sz w:val="24"/>
          <w:szCs w:val="24"/>
        </w:rPr>
        <w:t xml:space="preserve"> (wobei es auch hier große Untersch</w:t>
      </w:r>
      <w:r w:rsidR="00272E43" w:rsidRPr="00D1021A">
        <w:rPr>
          <w:rFonts w:ascii="Poppins" w:eastAsia="Aptos" w:hAnsi="Poppins" w:cs="Poppins"/>
          <w:color w:val="000000" w:themeColor="text1"/>
          <w:sz w:val="24"/>
          <w:szCs w:val="24"/>
        </w:rPr>
        <w:t>ie</w:t>
      </w:r>
      <w:r w:rsidR="00AC3B96" w:rsidRPr="00D1021A">
        <w:rPr>
          <w:rFonts w:ascii="Poppins" w:eastAsia="Aptos" w:hAnsi="Poppins" w:cs="Poppins"/>
          <w:color w:val="000000" w:themeColor="text1"/>
          <w:sz w:val="24"/>
          <w:szCs w:val="24"/>
        </w:rPr>
        <w:t>de gibt)</w:t>
      </w:r>
      <w:r w:rsidRPr="00D1021A">
        <w:rPr>
          <w:rFonts w:ascii="Poppins" w:eastAsia="Aptos" w:hAnsi="Poppins" w:cs="Poppins"/>
          <w:color w:val="000000" w:themeColor="text1"/>
          <w:sz w:val="24"/>
          <w:szCs w:val="24"/>
        </w:rPr>
        <w:t>, bedürfen Fragen des Alignments häufig den direkten Austausch. Hier zeigt sich eine große Übereinstimmung mit der Literatur, die den Mehrwert von Diskussion</w:t>
      </w:r>
      <w:r w:rsidR="00312360" w:rsidRPr="00D1021A">
        <w:rPr>
          <w:rFonts w:ascii="Poppins" w:eastAsia="Aptos" w:hAnsi="Poppins" w:cs="Poppins"/>
          <w:color w:val="000000" w:themeColor="text1"/>
          <w:sz w:val="24"/>
          <w:szCs w:val="24"/>
        </w:rPr>
        <w:t>,</w:t>
      </w:r>
      <w:r w:rsidRPr="00D1021A">
        <w:rPr>
          <w:rFonts w:ascii="Poppins" w:eastAsia="Aptos" w:hAnsi="Poppins" w:cs="Poppins"/>
          <w:color w:val="000000" w:themeColor="text1"/>
          <w:sz w:val="24"/>
          <w:szCs w:val="24"/>
        </w:rPr>
        <w:t xml:space="preserve"> Argumentation</w:t>
      </w:r>
      <w:r w:rsidR="00312360" w:rsidRPr="00D1021A">
        <w:rPr>
          <w:rFonts w:ascii="Poppins" w:eastAsia="Aptos" w:hAnsi="Poppins" w:cs="Poppins"/>
          <w:color w:val="000000" w:themeColor="text1"/>
          <w:sz w:val="24"/>
          <w:szCs w:val="24"/>
        </w:rPr>
        <w:t xml:space="preserve"> und Kollaboration</w:t>
      </w:r>
      <w:r w:rsidRPr="00D1021A">
        <w:rPr>
          <w:rFonts w:ascii="Poppins" w:eastAsia="Aptos" w:hAnsi="Poppins" w:cs="Poppins"/>
          <w:color w:val="000000" w:themeColor="text1"/>
          <w:sz w:val="24"/>
          <w:szCs w:val="24"/>
        </w:rPr>
        <w:t xml:space="preserve"> zur Qualitätssicherung und Weiterentwicklung von OER beton</w:t>
      </w:r>
      <w:r w:rsidR="00147044" w:rsidRPr="00D1021A">
        <w:rPr>
          <w:rFonts w:ascii="Poppins" w:eastAsia="Aptos" w:hAnsi="Poppins" w:cs="Poppins"/>
          <w:color w:val="000000" w:themeColor="text1"/>
          <w:sz w:val="24"/>
          <w:szCs w:val="24"/>
        </w:rPr>
        <w:t>t</w:t>
      </w:r>
      <w:r w:rsidRPr="00D1021A">
        <w:rPr>
          <w:rFonts w:ascii="Poppins" w:eastAsia="Aptos" w:hAnsi="Poppins" w:cs="Poppins"/>
          <w:color w:val="000000" w:themeColor="text1"/>
          <w:sz w:val="24"/>
          <w:szCs w:val="24"/>
        </w:rPr>
        <w:t>.</w:t>
      </w:r>
      <w:r w:rsidR="00495F84" w:rsidRPr="00D1021A">
        <w:rPr>
          <w:rFonts w:ascii="Poppins" w:eastAsia="Aptos" w:hAnsi="Poppins" w:cs="Poppins"/>
          <w:color w:val="000000" w:themeColor="text1"/>
          <w:sz w:val="24"/>
          <w:szCs w:val="24"/>
        </w:rPr>
        <w:t xml:space="preserve"> Aus diesem Grund lebt die HOOU eine enge direkte</w:t>
      </w:r>
      <w:r w:rsidR="00312360" w:rsidRPr="00D1021A">
        <w:rPr>
          <w:rFonts w:ascii="Poppins" w:eastAsia="Aptos" w:hAnsi="Poppins" w:cs="Poppins"/>
          <w:color w:val="000000" w:themeColor="text1"/>
          <w:sz w:val="24"/>
          <w:szCs w:val="24"/>
        </w:rPr>
        <w:t xml:space="preserve"> und bedarfsorientierte</w:t>
      </w:r>
      <w:r w:rsidR="00495F84" w:rsidRPr="00D1021A">
        <w:rPr>
          <w:rFonts w:ascii="Poppins" w:eastAsia="Aptos" w:hAnsi="Poppins" w:cs="Poppins"/>
          <w:color w:val="000000" w:themeColor="text1"/>
          <w:sz w:val="24"/>
          <w:szCs w:val="24"/>
        </w:rPr>
        <w:t xml:space="preserve"> Betreuung und Beratung der OER-Projektbeteiligten. Gleichzeitig setzt die HOOU auf eine didaktische Qualifizierung der Projektbeteiligten, um die Weiterverbreitung von OER zu befördern.</w:t>
      </w:r>
    </w:p>
    <w:p w14:paraId="21418E24" w14:textId="6742E854" w:rsidR="0067273A" w:rsidRPr="00D1021A" w:rsidRDefault="0067273A" w:rsidP="00E55947">
      <w:pPr>
        <w:spacing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 xml:space="preserve">Eine Implementierung der Qualitätskriterien von Anfang an und </w:t>
      </w:r>
      <w:r w:rsidR="00AC3B96" w:rsidRPr="00D1021A">
        <w:rPr>
          <w:rFonts w:ascii="Poppins" w:eastAsia="Aptos" w:hAnsi="Poppins" w:cs="Poppins"/>
          <w:color w:val="000000" w:themeColor="text1"/>
          <w:sz w:val="24"/>
          <w:szCs w:val="24"/>
        </w:rPr>
        <w:t xml:space="preserve">eine </w:t>
      </w:r>
      <w:r w:rsidRPr="00D1021A">
        <w:rPr>
          <w:rFonts w:ascii="Poppins" w:eastAsia="Aptos" w:hAnsi="Poppins" w:cs="Poppins"/>
          <w:color w:val="000000" w:themeColor="text1"/>
          <w:sz w:val="24"/>
          <w:szCs w:val="24"/>
        </w:rPr>
        <w:t>Ausrichtung des Prozesses zur OER-Erstellung auf bestimmte Meilensteine</w:t>
      </w:r>
      <w:r w:rsidR="002F51E3" w:rsidRPr="00D1021A">
        <w:rPr>
          <w:rFonts w:ascii="Poppins" w:eastAsia="Aptos" w:hAnsi="Poppins" w:cs="Poppins"/>
          <w:color w:val="000000" w:themeColor="text1"/>
          <w:sz w:val="24"/>
          <w:szCs w:val="24"/>
        </w:rPr>
        <w:t xml:space="preserve"> (Prozessqualität)</w:t>
      </w:r>
      <w:r w:rsidRPr="00D1021A">
        <w:rPr>
          <w:rFonts w:ascii="Poppins" w:eastAsia="Aptos" w:hAnsi="Poppins" w:cs="Poppins"/>
          <w:color w:val="000000" w:themeColor="text1"/>
          <w:sz w:val="24"/>
          <w:szCs w:val="24"/>
        </w:rPr>
        <w:t xml:space="preserve"> schaffen eine Homogenisierung und Standardisierung, welche die Ergebnisqualität </w:t>
      </w:r>
      <w:r w:rsidR="00312360" w:rsidRPr="00D1021A">
        <w:rPr>
          <w:rFonts w:ascii="Poppins" w:eastAsia="Aptos" w:hAnsi="Poppins" w:cs="Poppins"/>
          <w:color w:val="000000" w:themeColor="text1"/>
          <w:sz w:val="24"/>
          <w:szCs w:val="24"/>
        </w:rPr>
        <w:t>gewährleistet. Dabei kann die individuelle Ausgestaltung je nach Kontext variieren.</w:t>
      </w:r>
    </w:p>
    <w:p w14:paraId="634CC147" w14:textId="2CF89822" w:rsidR="00EF700E" w:rsidRPr="00D1021A" w:rsidRDefault="00EF700E" w:rsidP="00E55947">
      <w:pPr>
        <w:spacing w:after="0"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 xml:space="preserve">Die Erprobung der Kriterien wie auch die Befragungen unterstützen die in der Literatur häufig benannte Empfehlung, Maßnahmen zur Qualitätssicherung von Beginn an in den einzelnen Prozessschritten der OER-Entstehung zu verankern. Hierbei </w:t>
      </w:r>
      <w:r w:rsidR="00312360" w:rsidRPr="00D1021A">
        <w:rPr>
          <w:rFonts w:ascii="Poppins" w:eastAsia="Aptos" w:hAnsi="Poppins" w:cs="Poppins"/>
          <w:color w:val="000000" w:themeColor="text1"/>
          <w:sz w:val="24"/>
          <w:szCs w:val="24"/>
        </w:rPr>
        <w:t>werden</w:t>
      </w:r>
      <w:r w:rsidRPr="00D1021A">
        <w:rPr>
          <w:rFonts w:ascii="Poppins" w:eastAsia="Aptos" w:hAnsi="Poppins" w:cs="Poppins"/>
          <w:color w:val="000000" w:themeColor="text1"/>
          <w:sz w:val="24"/>
          <w:szCs w:val="24"/>
        </w:rPr>
        <w:t xml:space="preserve"> den einzelnen HOOU-Institutionen </w:t>
      </w:r>
      <w:r w:rsidR="00147044" w:rsidRPr="00D1021A">
        <w:rPr>
          <w:rFonts w:ascii="Poppins" w:eastAsia="Aptos" w:hAnsi="Poppins" w:cs="Poppins"/>
          <w:color w:val="000000" w:themeColor="text1"/>
          <w:sz w:val="24"/>
          <w:szCs w:val="24"/>
        </w:rPr>
        <w:t xml:space="preserve">Freiräume </w:t>
      </w:r>
      <w:r w:rsidRPr="00D1021A">
        <w:rPr>
          <w:rFonts w:ascii="Poppins" w:eastAsia="Aptos" w:hAnsi="Poppins" w:cs="Poppins"/>
          <w:color w:val="000000" w:themeColor="text1"/>
          <w:sz w:val="24"/>
          <w:szCs w:val="24"/>
        </w:rPr>
        <w:t xml:space="preserve">bei der konkreten Ausgestaltung von Meilensteinen gegeben, die den spezifischen Bedarfen (Fachkultur, Schwerpunktthema der Förderphase usw.) entsprechen. Konkret bedeutet dies, dass insbesondere die vier Pflichtkriterien bereits bei der Ausschreibungsphase maßgeblich sind. Auf der anderen Seite misst sich ebenfalls das </w:t>
      </w:r>
      <w:r w:rsidR="00312360" w:rsidRPr="00D1021A">
        <w:rPr>
          <w:rFonts w:ascii="Poppins" w:eastAsia="Aptos" w:hAnsi="Poppins" w:cs="Poppins"/>
          <w:color w:val="000000" w:themeColor="text1"/>
          <w:sz w:val="24"/>
          <w:szCs w:val="24"/>
        </w:rPr>
        <w:t>„</w:t>
      </w:r>
      <w:r w:rsidRPr="00D1021A">
        <w:rPr>
          <w:rFonts w:ascii="Poppins" w:eastAsia="Aptos" w:hAnsi="Poppins" w:cs="Poppins"/>
          <w:color w:val="000000" w:themeColor="text1"/>
          <w:sz w:val="24"/>
          <w:szCs w:val="24"/>
        </w:rPr>
        <w:t>fertige</w:t>
      </w:r>
      <w:r w:rsidR="00312360" w:rsidRPr="00D1021A">
        <w:rPr>
          <w:rFonts w:ascii="Poppins" w:eastAsia="Aptos" w:hAnsi="Poppins" w:cs="Poppins"/>
          <w:color w:val="000000" w:themeColor="text1"/>
          <w:sz w:val="24"/>
          <w:szCs w:val="24"/>
        </w:rPr>
        <w:t>“</w:t>
      </w:r>
      <w:r w:rsidRPr="00D1021A">
        <w:rPr>
          <w:rFonts w:ascii="Poppins" w:eastAsia="Aptos" w:hAnsi="Poppins" w:cs="Poppins"/>
          <w:color w:val="000000" w:themeColor="text1"/>
          <w:sz w:val="24"/>
          <w:szCs w:val="24"/>
        </w:rPr>
        <w:t xml:space="preserve"> Lernangebot an diesen Kriterien</w:t>
      </w:r>
      <w:r w:rsidR="00312360" w:rsidRPr="00D1021A">
        <w:rPr>
          <w:rFonts w:ascii="Poppins" w:eastAsia="Aptos" w:hAnsi="Poppins" w:cs="Poppins"/>
          <w:color w:val="000000" w:themeColor="text1"/>
          <w:sz w:val="24"/>
          <w:szCs w:val="24"/>
        </w:rPr>
        <w:t xml:space="preserve">, wohlwissend, dass </w:t>
      </w:r>
      <w:r w:rsidR="00312360" w:rsidRPr="00D1021A">
        <w:rPr>
          <w:rFonts w:ascii="Poppins" w:eastAsia="Aptos" w:hAnsi="Poppins" w:cs="Poppins"/>
          <w:color w:val="000000" w:themeColor="text1"/>
          <w:sz w:val="24"/>
          <w:szCs w:val="24"/>
        </w:rPr>
        <w:lastRenderedPageBreak/>
        <w:t>OER</w:t>
      </w:r>
      <w:r w:rsidR="00173CAF" w:rsidRPr="00D1021A">
        <w:rPr>
          <w:rFonts w:ascii="Poppins" w:eastAsia="Aptos" w:hAnsi="Poppins" w:cs="Poppins"/>
          <w:color w:val="000000" w:themeColor="text1"/>
          <w:sz w:val="24"/>
          <w:szCs w:val="24"/>
        </w:rPr>
        <w:t xml:space="preserve"> fast</w:t>
      </w:r>
      <w:r w:rsidR="00312360" w:rsidRPr="00D1021A">
        <w:rPr>
          <w:rFonts w:ascii="Poppins" w:eastAsia="Aptos" w:hAnsi="Poppins" w:cs="Poppins"/>
          <w:color w:val="000000" w:themeColor="text1"/>
          <w:sz w:val="24"/>
          <w:szCs w:val="24"/>
        </w:rPr>
        <w:t xml:space="preserve"> immer weiterentwickelt werden k</w:t>
      </w:r>
      <w:r w:rsidR="00147044" w:rsidRPr="00D1021A">
        <w:rPr>
          <w:rFonts w:ascii="Poppins" w:eastAsia="Aptos" w:hAnsi="Poppins" w:cs="Poppins"/>
          <w:color w:val="000000" w:themeColor="text1"/>
          <w:sz w:val="24"/>
          <w:szCs w:val="24"/>
        </w:rPr>
        <w:t>ö</w:t>
      </w:r>
      <w:r w:rsidR="00312360" w:rsidRPr="00D1021A">
        <w:rPr>
          <w:rFonts w:ascii="Poppins" w:eastAsia="Aptos" w:hAnsi="Poppins" w:cs="Poppins"/>
          <w:color w:val="000000" w:themeColor="text1"/>
          <w:sz w:val="24"/>
          <w:szCs w:val="24"/>
        </w:rPr>
        <w:t>nn</w:t>
      </w:r>
      <w:r w:rsidR="00147044" w:rsidRPr="00D1021A">
        <w:rPr>
          <w:rFonts w:ascii="Poppins" w:eastAsia="Aptos" w:hAnsi="Poppins" w:cs="Poppins"/>
          <w:color w:val="000000" w:themeColor="text1"/>
          <w:sz w:val="24"/>
          <w:szCs w:val="24"/>
        </w:rPr>
        <w:t>en</w:t>
      </w:r>
      <w:r w:rsidR="00AC3B96" w:rsidRPr="00D1021A">
        <w:rPr>
          <w:rFonts w:ascii="Poppins" w:eastAsia="Aptos" w:hAnsi="Poppins" w:cs="Poppins"/>
          <w:color w:val="000000" w:themeColor="text1"/>
          <w:sz w:val="24"/>
          <w:szCs w:val="24"/>
        </w:rPr>
        <w:t xml:space="preserve"> und sollte</w:t>
      </w:r>
      <w:r w:rsidR="00147044" w:rsidRPr="00D1021A">
        <w:rPr>
          <w:rFonts w:ascii="Poppins" w:eastAsia="Aptos" w:hAnsi="Poppins" w:cs="Poppins"/>
          <w:color w:val="000000" w:themeColor="text1"/>
          <w:sz w:val="24"/>
          <w:szCs w:val="24"/>
        </w:rPr>
        <w:t>n</w:t>
      </w:r>
      <w:r w:rsidRPr="00D1021A">
        <w:rPr>
          <w:rFonts w:ascii="Poppins" w:eastAsia="Aptos" w:hAnsi="Poppins" w:cs="Poppins"/>
          <w:color w:val="000000" w:themeColor="text1"/>
          <w:sz w:val="24"/>
          <w:szCs w:val="24"/>
        </w:rPr>
        <w:t>. Für OER</w:t>
      </w:r>
      <w:r w:rsidR="000865CA" w:rsidRPr="00D1021A">
        <w:rPr>
          <w:rFonts w:ascii="Poppins" w:eastAsia="Aptos" w:hAnsi="Poppins" w:cs="Poppins"/>
          <w:color w:val="000000" w:themeColor="text1"/>
          <w:sz w:val="24"/>
          <w:szCs w:val="24"/>
        </w:rPr>
        <w:t>,</w:t>
      </w:r>
      <w:r w:rsidRPr="00D1021A">
        <w:rPr>
          <w:rFonts w:ascii="Poppins" w:eastAsia="Aptos" w:hAnsi="Poppins" w:cs="Poppins"/>
          <w:color w:val="000000" w:themeColor="text1"/>
          <w:sz w:val="24"/>
          <w:szCs w:val="24"/>
        </w:rPr>
        <w:t xml:space="preserve"> die außerhalb die HOOU entstanden sind</w:t>
      </w:r>
      <w:r w:rsidR="000865CA" w:rsidRPr="00D1021A">
        <w:rPr>
          <w:rFonts w:ascii="Poppins" w:eastAsia="Aptos" w:hAnsi="Poppins" w:cs="Poppins"/>
          <w:color w:val="000000" w:themeColor="text1"/>
          <w:sz w:val="24"/>
          <w:szCs w:val="24"/>
        </w:rPr>
        <w:t>,</w:t>
      </w:r>
      <w:r w:rsidRPr="00D1021A">
        <w:rPr>
          <w:rFonts w:ascii="Poppins" w:eastAsia="Aptos" w:hAnsi="Poppins" w:cs="Poppins"/>
          <w:color w:val="000000" w:themeColor="text1"/>
          <w:sz w:val="24"/>
          <w:szCs w:val="24"/>
        </w:rPr>
        <w:t xml:space="preserve"> entsche</w:t>
      </w:r>
      <w:r w:rsidR="000865CA" w:rsidRPr="00D1021A">
        <w:rPr>
          <w:rFonts w:ascii="Poppins" w:eastAsia="Aptos" w:hAnsi="Poppins" w:cs="Poppins"/>
          <w:color w:val="000000" w:themeColor="text1"/>
          <w:sz w:val="24"/>
          <w:szCs w:val="24"/>
        </w:rPr>
        <w:t>i</w:t>
      </w:r>
      <w:r w:rsidRPr="00D1021A">
        <w:rPr>
          <w:rFonts w:ascii="Poppins" w:eastAsia="Aptos" w:hAnsi="Poppins" w:cs="Poppins"/>
          <w:color w:val="000000" w:themeColor="text1"/>
          <w:sz w:val="24"/>
          <w:szCs w:val="24"/>
        </w:rPr>
        <w:t>det in erster Linie die Einhaltung der HOOU-Pflichtkriterien über d</w:t>
      </w:r>
      <w:r w:rsidR="000865CA" w:rsidRPr="00D1021A">
        <w:rPr>
          <w:rFonts w:ascii="Poppins" w:eastAsia="Aptos" w:hAnsi="Poppins" w:cs="Poppins"/>
          <w:color w:val="000000" w:themeColor="text1"/>
          <w:sz w:val="24"/>
          <w:szCs w:val="24"/>
        </w:rPr>
        <w:t>en Upload</w:t>
      </w:r>
      <w:r w:rsidRPr="00D1021A">
        <w:rPr>
          <w:rFonts w:ascii="Poppins" w:eastAsia="Aptos" w:hAnsi="Poppins" w:cs="Poppins"/>
          <w:color w:val="000000" w:themeColor="text1"/>
          <w:sz w:val="24"/>
          <w:szCs w:val="24"/>
        </w:rPr>
        <w:t xml:space="preserve"> auf der HOOU-Plattform.</w:t>
      </w:r>
      <w:r w:rsidR="00312360" w:rsidRPr="00D1021A">
        <w:rPr>
          <w:rFonts w:ascii="Poppins" w:eastAsia="Aptos" w:hAnsi="Poppins" w:cs="Poppins"/>
          <w:color w:val="000000" w:themeColor="text1"/>
          <w:sz w:val="24"/>
          <w:szCs w:val="24"/>
        </w:rPr>
        <w:t xml:space="preserve"> Dabei werden die Prozesse von Anfang an </w:t>
      </w:r>
      <w:r w:rsidR="000865CA" w:rsidRPr="00D1021A">
        <w:rPr>
          <w:rFonts w:ascii="Poppins" w:eastAsia="Aptos" w:hAnsi="Poppins" w:cs="Poppins"/>
          <w:color w:val="000000" w:themeColor="text1"/>
          <w:sz w:val="24"/>
          <w:szCs w:val="24"/>
        </w:rPr>
        <w:t>t</w:t>
      </w:r>
      <w:r w:rsidR="00312360" w:rsidRPr="00D1021A">
        <w:rPr>
          <w:rFonts w:ascii="Poppins" w:eastAsia="Aptos" w:hAnsi="Poppins" w:cs="Poppins"/>
          <w:color w:val="000000" w:themeColor="text1"/>
          <w:sz w:val="24"/>
          <w:szCs w:val="24"/>
        </w:rPr>
        <w:t>ransparent gemacht. Die HOOU kann so gewährleisten, dass auf der Plattform qualitativ hochwertige Inhalte angeboten werden.</w:t>
      </w:r>
    </w:p>
    <w:p w14:paraId="052AE2FD" w14:textId="52FBD6F4" w:rsidR="00AC3B96" w:rsidRPr="00D1021A" w:rsidRDefault="00AC3B96" w:rsidP="00E55947">
      <w:pPr>
        <w:spacing w:after="0"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Dabei muss allerdings gesagt werden, dass der Aufwand einer Testung der Qualität der Inhalte und die Schlaufen zur Überarbeitung sehr unterschiedlich im Arbeitsaufwand sein können – eine genaue Einschätzung des Aufwandes, so gerne dies auch gefordert wird, ist daher nicht möglich.</w:t>
      </w:r>
    </w:p>
    <w:p w14:paraId="45BD73BC" w14:textId="4633B50D" w:rsidR="0040385C" w:rsidRPr="00D1021A" w:rsidRDefault="00046E90" w:rsidP="00E55947">
      <w:pPr>
        <w:spacing w:line="360" w:lineRule="auto"/>
        <w:ind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 xml:space="preserve">Diese </w:t>
      </w:r>
      <w:r w:rsidR="00312360" w:rsidRPr="00D1021A">
        <w:rPr>
          <w:rFonts w:ascii="Poppins" w:eastAsia="Aptos" w:hAnsi="Poppins" w:cs="Poppins"/>
          <w:color w:val="000000" w:themeColor="text1"/>
          <w:sz w:val="24"/>
          <w:szCs w:val="24"/>
        </w:rPr>
        <w:t xml:space="preserve">benannten </w:t>
      </w:r>
      <w:r w:rsidRPr="00D1021A">
        <w:rPr>
          <w:rFonts w:ascii="Poppins" w:eastAsia="Aptos" w:hAnsi="Poppins" w:cs="Poppins"/>
          <w:color w:val="000000" w:themeColor="text1"/>
          <w:sz w:val="24"/>
          <w:szCs w:val="24"/>
        </w:rPr>
        <w:t xml:space="preserve">Schritte </w:t>
      </w:r>
      <w:r w:rsidR="00312360" w:rsidRPr="00D1021A">
        <w:rPr>
          <w:rFonts w:ascii="Poppins" w:eastAsia="Aptos" w:hAnsi="Poppins" w:cs="Poppins"/>
          <w:color w:val="000000" w:themeColor="text1"/>
          <w:sz w:val="24"/>
          <w:szCs w:val="24"/>
        </w:rPr>
        <w:t xml:space="preserve">und Erkenntnisse </w:t>
      </w:r>
      <w:r w:rsidRPr="00D1021A">
        <w:rPr>
          <w:rFonts w:ascii="Poppins" w:eastAsia="Aptos" w:hAnsi="Poppins" w:cs="Poppins"/>
          <w:color w:val="000000" w:themeColor="text1"/>
          <w:sz w:val="24"/>
          <w:szCs w:val="24"/>
        </w:rPr>
        <w:t>bildeten die Basis für die Prozesse und</w:t>
      </w:r>
      <w:r w:rsidR="000054BE" w:rsidRPr="00D1021A">
        <w:rPr>
          <w:rFonts w:ascii="Poppins" w:eastAsia="Aptos" w:hAnsi="Poppins" w:cs="Poppins"/>
          <w:color w:val="000000" w:themeColor="text1"/>
          <w:sz w:val="24"/>
          <w:szCs w:val="24"/>
        </w:rPr>
        <w:t xml:space="preserve"> begleitende</w:t>
      </w:r>
      <w:r w:rsidRPr="00D1021A">
        <w:rPr>
          <w:rFonts w:ascii="Poppins" w:eastAsia="Aptos" w:hAnsi="Poppins" w:cs="Poppins"/>
          <w:color w:val="000000" w:themeColor="text1"/>
          <w:sz w:val="24"/>
          <w:szCs w:val="24"/>
        </w:rPr>
        <w:t xml:space="preserve"> Materialien, welche auf der Seite der HOOU allen Interessierten </w:t>
      </w:r>
      <w:r w:rsidR="000054BE" w:rsidRPr="00D1021A">
        <w:rPr>
          <w:rFonts w:ascii="Poppins" w:eastAsia="Aptos" w:hAnsi="Poppins" w:cs="Poppins"/>
          <w:color w:val="000000" w:themeColor="text1"/>
          <w:sz w:val="24"/>
          <w:szCs w:val="24"/>
        </w:rPr>
        <w:t xml:space="preserve">offen lizenziert </w:t>
      </w:r>
      <w:r w:rsidRPr="00D1021A">
        <w:rPr>
          <w:rFonts w:ascii="Poppins" w:eastAsia="Aptos" w:hAnsi="Poppins" w:cs="Poppins"/>
          <w:color w:val="000000" w:themeColor="text1"/>
          <w:sz w:val="24"/>
          <w:szCs w:val="24"/>
        </w:rPr>
        <w:t>zur Verfügung stehen:</w:t>
      </w:r>
    </w:p>
    <w:p w14:paraId="100DCD5D" w14:textId="0B3441E8" w:rsidR="0040385C" w:rsidRPr="00D1021A" w:rsidRDefault="00046E90" w:rsidP="002004EB">
      <w:pPr>
        <w:pStyle w:val="Listenabsatz"/>
        <w:numPr>
          <w:ilvl w:val="0"/>
          <w:numId w:val="1"/>
        </w:numPr>
        <w:spacing w:after="0" w:line="360" w:lineRule="auto"/>
        <w:ind w:left="1060"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Prozess zum Ablauf einer Förderphase der HOOU</w:t>
      </w:r>
    </w:p>
    <w:p w14:paraId="07E9568B" w14:textId="31642B55" w:rsidR="000054BE" w:rsidRPr="00D1021A" w:rsidRDefault="00046E90" w:rsidP="00DC4453">
      <w:pPr>
        <w:pStyle w:val="Listenabsatz"/>
        <w:numPr>
          <w:ilvl w:val="0"/>
          <w:numId w:val="1"/>
        </w:numPr>
        <w:spacing w:after="0" w:line="360" w:lineRule="auto"/>
        <w:ind w:left="1060"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Prozess zur Sicherstellung der Qualität von Inhalten extern entstandene</w:t>
      </w:r>
      <w:r w:rsidR="00267DE4" w:rsidRPr="00D1021A">
        <w:rPr>
          <w:rFonts w:ascii="Poppins" w:eastAsia="Aptos" w:hAnsi="Poppins" w:cs="Poppins"/>
          <w:color w:val="000000" w:themeColor="text1"/>
          <w:sz w:val="24"/>
          <w:szCs w:val="24"/>
        </w:rPr>
        <w:t>r</w:t>
      </w:r>
      <w:r w:rsidRPr="00D1021A">
        <w:rPr>
          <w:rFonts w:ascii="Poppins" w:eastAsia="Aptos" w:hAnsi="Poppins" w:cs="Poppins"/>
          <w:color w:val="000000" w:themeColor="text1"/>
          <w:sz w:val="24"/>
          <w:szCs w:val="24"/>
        </w:rPr>
        <w:t xml:space="preserve"> Lernangebote</w:t>
      </w:r>
    </w:p>
    <w:p w14:paraId="78FBD3DC" w14:textId="33910940" w:rsidR="000054BE" w:rsidRPr="00D1021A" w:rsidRDefault="00627BAC" w:rsidP="002004EB">
      <w:pPr>
        <w:pStyle w:val="Listenabsatz"/>
        <w:numPr>
          <w:ilvl w:val="0"/>
          <w:numId w:val="1"/>
        </w:numPr>
        <w:spacing w:after="0" w:line="360" w:lineRule="auto"/>
        <w:ind w:left="1060" w:right="-20"/>
        <w:rPr>
          <w:rFonts w:ascii="Poppins" w:eastAsia="Aptos" w:hAnsi="Poppins" w:cs="Poppins"/>
          <w:color w:val="000000" w:themeColor="text1"/>
          <w:sz w:val="24"/>
          <w:szCs w:val="24"/>
        </w:rPr>
      </w:pPr>
      <w:r w:rsidRPr="00D1021A">
        <w:rPr>
          <w:rFonts w:ascii="Poppins" w:eastAsia="Aptos" w:hAnsi="Poppins" w:cs="Poppins"/>
          <w:color w:val="000000" w:themeColor="text1"/>
          <w:sz w:val="24"/>
          <w:szCs w:val="24"/>
        </w:rPr>
        <w:t xml:space="preserve">Der </w:t>
      </w:r>
      <w:r w:rsidR="000054BE" w:rsidRPr="00D1021A">
        <w:rPr>
          <w:rFonts w:ascii="Poppins" w:eastAsia="Aptos" w:hAnsi="Poppins" w:cs="Poppins"/>
          <w:color w:val="000000" w:themeColor="text1"/>
          <w:sz w:val="24"/>
          <w:szCs w:val="24"/>
        </w:rPr>
        <w:t>HOOU-</w:t>
      </w:r>
      <w:r w:rsidRPr="00D1021A">
        <w:rPr>
          <w:rFonts w:ascii="Poppins" w:eastAsia="Aptos" w:hAnsi="Poppins" w:cs="Poppins"/>
          <w:color w:val="000000" w:themeColor="text1"/>
          <w:sz w:val="24"/>
          <w:szCs w:val="24"/>
        </w:rPr>
        <w:t>Selbstcheck</w:t>
      </w:r>
      <w:r w:rsidR="000054BE" w:rsidRPr="00D1021A">
        <w:rPr>
          <w:rFonts w:ascii="Poppins" w:eastAsia="Aptos" w:hAnsi="Poppins" w:cs="Poppins"/>
          <w:color w:val="000000" w:themeColor="text1"/>
          <w:sz w:val="24"/>
          <w:szCs w:val="24"/>
        </w:rPr>
        <w:t xml:space="preserve">: Niedrigschwelliges Tool </w:t>
      </w:r>
      <w:r w:rsidRPr="00D1021A">
        <w:rPr>
          <w:rFonts w:ascii="Poppins" w:eastAsia="Aptos" w:hAnsi="Poppins" w:cs="Poppins"/>
          <w:color w:val="000000" w:themeColor="text1"/>
          <w:sz w:val="24"/>
          <w:szCs w:val="24"/>
        </w:rPr>
        <w:t xml:space="preserve">zur Überprüfung </w:t>
      </w:r>
      <w:r w:rsidR="000054BE" w:rsidRPr="00D1021A">
        <w:rPr>
          <w:rFonts w:ascii="Poppins" w:eastAsia="Aptos" w:hAnsi="Poppins" w:cs="Poppins"/>
          <w:color w:val="000000" w:themeColor="text1"/>
          <w:sz w:val="24"/>
          <w:szCs w:val="24"/>
        </w:rPr>
        <w:t>von OER auf die</w:t>
      </w:r>
      <w:r w:rsidRPr="00D1021A">
        <w:rPr>
          <w:rFonts w:ascii="Poppins" w:eastAsia="Aptos" w:hAnsi="Poppins" w:cs="Poppins"/>
          <w:color w:val="000000" w:themeColor="text1"/>
          <w:sz w:val="24"/>
          <w:szCs w:val="24"/>
        </w:rPr>
        <w:t xml:space="preserve"> 4 HOOU-Pflichtkriterien</w:t>
      </w:r>
      <w:r w:rsidR="000054BE" w:rsidRPr="00D1021A">
        <w:rPr>
          <w:rFonts w:ascii="Poppins" w:eastAsia="Aptos" w:hAnsi="Poppins" w:cs="Poppins"/>
          <w:color w:val="000000" w:themeColor="text1"/>
          <w:sz w:val="24"/>
          <w:szCs w:val="24"/>
        </w:rPr>
        <w:t xml:space="preserve">, kann </w:t>
      </w:r>
      <w:r w:rsidR="00173CAF" w:rsidRPr="00D1021A">
        <w:rPr>
          <w:rFonts w:ascii="Poppins" w:eastAsia="Aptos" w:hAnsi="Poppins" w:cs="Poppins"/>
          <w:color w:val="000000" w:themeColor="text1"/>
          <w:sz w:val="24"/>
          <w:szCs w:val="24"/>
        </w:rPr>
        <w:t>unkompliziert</w:t>
      </w:r>
      <w:r w:rsidR="000054BE" w:rsidRPr="00D1021A">
        <w:rPr>
          <w:rFonts w:ascii="Poppins" w:eastAsia="Aptos" w:hAnsi="Poppins" w:cs="Poppins"/>
          <w:color w:val="000000" w:themeColor="text1"/>
          <w:sz w:val="24"/>
          <w:szCs w:val="24"/>
        </w:rPr>
        <w:t xml:space="preserve"> und in jedem Kontext angewendet werden</w:t>
      </w:r>
    </w:p>
    <w:p w14:paraId="0CE4A99E" w14:textId="77777777" w:rsidR="000054BE" w:rsidRPr="00D1021A" w:rsidRDefault="000054BE" w:rsidP="00E55947">
      <w:pPr>
        <w:spacing w:after="0" w:line="360" w:lineRule="auto"/>
        <w:ind w:right="-20"/>
        <w:rPr>
          <w:rFonts w:ascii="Poppins" w:eastAsia="Aptos" w:hAnsi="Poppins" w:cs="Poppins"/>
          <w:color w:val="000000" w:themeColor="text1"/>
          <w:sz w:val="24"/>
          <w:szCs w:val="24"/>
        </w:rPr>
      </w:pPr>
    </w:p>
    <w:p w14:paraId="1C4AC2CA" w14:textId="0DEE8A3D" w:rsidR="000865CA" w:rsidRPr="00D1021A" w:rsidRDefault="002E4E69" w:rsidP="00E55947">
      <w:pPr>
        <w:pStyle w:val="Flietext"/>
        <w:jc w:val="left"/>
        <w:rPr>
          <w:rFonts w:ascii="Poppins" w:hAnsi="Poppins" w:cs="Poppins"/>
        </w:rPr>
      </w:pPr>
      <w:r w:rsidRPr="00D1021A">
        <w:rPr>
          <w:rFonts w:ascii="Poppins" w:hAnsi="Poppins" w:cs="Poppins"/>
        </w:rPr>
        <w:t xml:space="preserve">Wann ist eine OER qualitativ hochwertig? </w:t>
      </w:r>
      <w:r w:rsidR="00AC3B96" w:rsidRPr="00D1021A">
        <w:rPr>
          <w:rFonts w:ascii="Poppins" w:hAnsi="Poppins" w:cs="Poppins"/>
        </w:rPr>
        <w:t>Zusammenfassend lässt sich sagen, dass diese Frage</w:t>
      </w:r>
      <w:r w:rsidRPr="00D1021A">
        <w:rPr>
          <w:rFonts w:ascii="Poppins" w:hAnsi="Poppins" w:cs="Poppins"/>
        </w:rPr>
        <w:t xml:space="preserve">, genau wie die Frage nach der guten Bildung, nur mehrdimensional zu betrachten </w:t>
      </w:r>
      <w:r w:rsidR="00AC3B96" w:rsidRPr="00D1021A">
        <w:rPr>
          <w:rFonts w:ascii="Poppins" w:hAnsi="Poppins" w:cs="Poppins"/>
        </w:rPr>
        <w:t xml:space="preserve">ist </w:t>
      </w:r>
      <w:r w:rsidRPr="00D1021A">
        <w:rPr>
          <w:rFonts w:ascii="Poppins" w:hAnsi="Poppins" w:cs="Poppins"/>
        </w:rPr>
        <w:t xml:space="preserve">und </w:t>
      </w:r>
      <w:r w:rsidR="000865CA" w:rsidRPr="00D1021A">
        <w:rPr>
          <w:rFonts w:ascii="Poppins" w:hAnsi="Poppins" w:cs="Poppins"/>
        </w:rPr>
        <w:t xml:space="preserve">deren Beantwortung </w:t>
      </w:r>
      <w:r w:rsidRPr="00D1021A">
        <w:rPr>
          <w:rFonts w:ascii="Poppins" w:hAnsi="Poppins" w:cs="Poppins"/>
        </w:rPr>
        <w:t>sich in einem ständigen Wandel</w:t>
      </w:r>
      <w:r w:rsidR="00AC3B96" w:rsidRPr="00D1021A">
        <w:rPr>
          <w:rFonts w:ascii="Poppins" w:hAnsi="Poppins" w:cs="Poppins"/>
        </w:rPr>
        <w:t xml:space="preserve"> befindet</w:t>
      </w:r>
      <w:r w:rsidRPr="00D1021A">
        <w:rPr>
          <w:rFonts w:ascii="Poppins" w:hAnsi="Poppins" w:cs="Poppins"/>
        </w:rPr>
        <w:t xml:space="preserve">. </w:t>
      </w:r>
      <w:r w:rsidR="00CC13AA" w:rsidRPr="00D1021A">
        <w:rPr>
          <w:rFonts w:ascii="Poppins" w:hAnsi="Poppins" w:cs="Poppins"/>
        </w:rPr>
        <w:t xml:space="preserve">Dabei stellen OER eine besondere Form von </w:t>
      </w:r>
      <w:r w:rsidR="00CC13AA" w:rsidRPr="00D1021A">
        <w:rPr>
          <w:rFonts w:ascii="Poppins" w:hAnsi="Poppins" w:cs="Poppins"/>
        </w:rPr>
        <w:lastRenderedPageBreak/>
        <w:t>Lehr-/Lernressourcen da</w:t>
      </w:r>
      <w:r w:rsidR="00AC3B96" w:rsidRPr="00D1021A">
        <w:rPr>
          <w:rFonts w:ascii="Poppins" w:hAnsi="Poppins" w:cs="Poppins"/>
        </w:rPr>
        <w:t>r</w:t>
      </w:r>
      <w:r w:rsidRPr="00D1021A">
        <w:rPr>
          <w:rFonts w:ascii="Poppins" w:hAnsi="Poppins" w:cs="Poppins"/>
        </w:rPr>
        <w:t>, denn ihr Potenzial besteht dar</w:t>
      </w:r>
      <w:r w:rsidR="000865CA" w:rsidRPr="00D1021A">
        <w:rPr>
          <w:rFonts w:ascii="Poppins" w:hAnsi="Poppins" w:cs="Poppins"/>
        </w:rPr>
        <w:t>i</w:t>
      </w:r>
      <w:r w:rsidRPr="00D1021A">
        <w:rPr>
          <w:rFonts w:ascii="Poppins" w:hAnsi="Poppins" w:cs="Poppins"/>
        </w:rPr>
        <w:t>n, neue Wege zu gehen und Innovationen voranzutreiben.</w:t>
      </w:r>
    </w:p>
    <w:p w14:paraId="7E6A355D" w14:textId="077B3271" w:rsidR="002E4E69" w:rsidRPr="00D1021A" w:rsidRDefault="002E4E69" w:rsidP="00E55947">
      <w:pPr>
        <w:pStyle w:val="Flietext"/>
        <w:jc w:val="left"/>
        <w:rPr>
          <w:rFonts w:ascii="Poppins" w:hAnsi="Poppins" w:cs="Poppins"/>
        </w:rPr>
      </w:pPr>
      <w:r w:rsidRPr="00D1021A">
        <w:rPr>
          <w:rFonts w:ascii="Poppins" w:hAnsi="Poppins" w:cs="Poppins"/>
        </w:rPr>
        <w:t>Aus diesem Grund steht das QMS der HOOU immer wieder vor der Aufgabe</w:t>
      </w:r>
      <w:r w:rsidR="000865CA" w:rsidRPr="00D1021A">
        <w:rPr>
          <w:rFonts w:ascii="Poppins" w:hAnsi="Poppins" w:cs="Poppins"/>
        </w:rPr>
        <w:t>,</w:t>
      </w:r>
      <w:r w:rsidRPr="00D1021A">
        <w:rPr>
          <w:rFonts w:ascii="Poppins" w:hAnsi="Poppins" w:cs="Poppins"/>
        </w:rPr>
        <w:t xml:space="preserve"> sich selbst zu überprüfen, </w:t>
      </w:r>
      <w:r w:rsidR="00AC3B96" w:rsidRPr="00D1021A">
        <w:rPr>
          <w:rFonts w:ascii="Poppins" w:hAnsi="Poppins" w:cs="Poppins"/>
        </w:rPr>
        <w:t xml:space="preserve">sich </w:t>
      </w:r>
      <w:r w:rsidRPr="00D1021A">
        <w:rPr>
          <w:rFonts w:ascii="Poppins" w:hAnsi="Poppins" w:cs="Poppins"/>
        </w:rPr>
        <w:t>zu hinterfragen</w:t>
      </w:r>
      <w:r w:rsidR="00AC3B96" w:rsidRPr="00D1021A">
        <w:rPr>
          <w:rFonts w:ascii="Poppins" w:hAnsi="Poppins" w:cs="Poppins"/>
        </w:rPr>
        <w:t xml:space="preserve"> und sich </w:t>
      </w:r>
      <w:r w:rsidRPr="00D1021A">
        <w:rPr>
          <w:rFonts w:ascii="Poppins" w:hAnsi="Poppins" w:cs="Poppins"/>
        </w:rPr>
        <w:t>zu verbessern</w:t>
      </w:r>
      <w:r w:rsidR="00AC3B96" w:rsidRPr="00D1021A">
        <w:rPr>
          <w:rFonts w:ascii="Poppins" w:hAnsi="Poppins" w:cs="Poppins"/>
        </w:rPr>
        <w:t>. Es kann</w:t>
      </w:r>
      <w:r w:rsidR="00A162C0" w:rsidRPr="00D1021A">
        <w:rPr>
          <w:rFonts w:ascii="Poppins" w:hAnsi="Poppins" w:cs="Poppins"/>
        </w:rPr>
        <w:t xml:space="preserve"> von anderen genutzt, verändert und geteilt werden </w:t>
      </w:r>
      <w:r w:rsidRPr="00D1021A">
        <w:rPr>
          <w:rFonts w:ascii="Poppins" w:hAnsi="Poppins" w:cs="Poppins"/>
        </w:rPr>
        <w:t>und reiht sich damit in die Welt der Open Educational Resources ein.</w:t>
      </w:r>
    </w:p>
    <w:p w14:paraId="3ED63E84" w14:textId="342BDAAD" w:rsidR="00DD46C8" w:rsidRPr="00D1021A" w:rsidRDefault="00DD46C8">
      <w:pPr>
        <w:rPr>
          <w:rFonts w:ascii="Poppins" w:hAnsi="Poppins" w:cs="Poppins"/>
          <w:sz w:val="24"/>
        </w:rPr>
      </w:pPr>
      <w:r w:rsidRPr="00D1021A">
        <w:rPr>
          <w:rFonts w:ascii="Poppins" w:hAnsi="Poppins" w:cs="Poppins"/>
        </w:rPr>
        <w:br w:type="page"/>
      </w:r>
    </w:p>
    <w:p w14:paraId="04D816BC" w14:textId="77777777" w:rsidR="0040385C" w:rsidRPr="00D1021A" w:rsidRDefault="00046E90" w:rsidP="009B614E">
      <w:pPr>
        <w:pStyle w:val="berschrift1"/>
        <w:rPr>
          <w:rFonts w:ascii="Poppins" w:hAnsi="Poppins" w:cs="Poppins"/>
        </w:rPr>
      </w:pPr>
      <w:bookmarkStart w:id="99" w:name="_Toc177037322"/>
      <w:r w:rsidRPr="00D1021A">
        <w:rPr>
          <w:rFonts w:ascii="Poppins" w:hAnsi="Poppins" w:cs="Poppins"/>
        </w:rPr>
        <w:lastRenderedPageBreak/>
        <w:t>Literatur</w:t>
      </w:r>
      <w:bookmarkEnd w:id="99"/>
    </w:p>
    <w:p w14:paraId="70ECDD05" w14:textId="4747B644" w:rsidR="0040385C" w:rsidRPr="00D1021A" w:rsidRDefault="00046E90" w:rsidP="009B614E">
      <w:pPr>
        <w:spacing w:before="240" w:line="360" w:lineRule="auto"/>
        <w:ind w:left="-20" w:right="-20"/>
        <w:rPr>
          <w:rFonts w:ascii="Poppins" w:hAnsi="Poppins" w:cs="Poppins"/>
          <w:sz w:val="24"/>
          <w:szCs w:val="24"/>
        </w:rPr>
      </w:pPr>
      <w:r w:rsidRPr="006416ED">
        <w:rPr>
          <w:rFonts w:ascii="Poppins" w:hAnsi="Poppins" w:cs="Poppins"/>
          <w:b/>
          <w:bCs/>
          <w:sz w:val="24"/>
          <w:szCs w:val="24"/>
          <w:lang w:val="en-US"/>
        </w:rPr>
        <w:t xml:space="preserve">Anders, N. H., &amp; </w:t>
      </w:r>
      <w:proofErr w:type="spellStart"/>
      <w:r w:rsidRPr="006416ED">
        <w:rPr>
          <w:rFonts w:ascii="Poppins" w:hAnsi="Poppins" w:cs="Poppins"/>
          <w:b/>
          <w:bCs/>
          <w:sz w:val="24"/>
          <w:szCs w:val="24"/>
          <w:lang w:val="en-US"/>
        </w:rPr>
        <w:t>Watolla</w:t>
      </w:r>
      <w:proofErr w:type="spellEnd"/>
      <w:r w:rsidRPr="006416ED">
        <w:rPr>
          <w:rFonts w:ascii="Poppins" w:hAnsi="Poppins" w:cs="Poppins"/>
          <w:b/>
          <w:bCs/>
          <w:sz w:val="24"/>
          <w:szCs w:val="24"/>
          <w:lang w:val="en-US"/>
        </w:rPr>
        <w:t>, A. K. (2021)</w:t>
      </w:r>
      <w:r w:rsidRPr="006416ED">
        <w:rPr>
          <w:rFonts w:ascii="Poppins" w:hAnsi="Poppins" w:cs="Poppins"/>
          <w:sz w:val="24"/>
          <w:szCs w:val="24"/>
          <w:lang w:val="en-US"/>
        </w:rPr>
        <w:t xml:space="preserve">. </w:t>
      </w:r>
      <w:r w:rsidRPr="00D1021A">
        <w:rPr>
          <w:rFonts w:ascii="Poppins" w:hAnsi="Poppins" w:cs="Poppins"/>
          <w:sz w:val="24"/>
          <w:szCs w:val="24"/>
        </w:rPr>
        <w:t>Entwicklung eines</w:t>
      </w:r>
      <w:r w:rsidR="009123EE" w:rsidRPr="00D1021A">
        <w:rPr>
          <w:rFonts w:ascii="Poppins" w:hAnsi="Poppins" w:cs="Poppins"/>
          <w:sz w:val="24"/>
          <w:szCs w:val="24"/>
        </w:rPr>
        <w:t xml:space="preserve"> </w:t>
      </w:r>
      <w:r w:rsidRPr="00D1021A">
        <w:rPr>
          <w:rFonts w:ascii="Poppins" w:hAnsi="Poppins" w:cs="Poppins"/>
          <w:sz w:val="24"/>
          <w:szCs w:val="24"/>
        </w:rPr>
        <w:t>Qualitätsmanagementsystems für die HOOU: Ergebnisbericht einer Befragung der HOOU-Mitarbeitenden.</w:t>
      </w:r>
      <w:r w:rsidR="00002E71" w:rsidRPr="00D1021A">
        <w:rPr>
          <w:rFonts w:ascii="Poppins" w:hAnsi="Poppins" w:cs="Poppins"/>
          <w:sz w:val="24"/>
          <w:szCs w:val="24"/>
        </w:rPr>
        <w:t xml:space="preserve"> </w:t>
      </w:r>
      <w:r w:rsidR="006B366A" w:rsidRPr="00D1021A">
        <w:rPr>
          <w:rFonts w:ascii="Poppins" w:hAnsi="Poppins" w:cs="Poppins"/>
          <w:sz w:val="24"/>
          <w:szCs w:val="24"/>
        </w:rPr>
        <w:t xml:space="preserve">Online verfügbar unter: </w:t>
      </w:r>
      <w:hyperlink r:id="rId16" w:history="1">
        <w:r w:rsidR="006B366A" w:rsidRPr="00D1021A">
          <w:rPr>
            <w:rStyle w:val="Hyperlink"/>
            <w:rFonts w:ascii="Poppins" w:hAnsi="Poppins" w:cs="Poppins"/>
            <w:sz w:val="24"/>
            <w:szCs w:val="24"/>
          </w:rPr>
          <w:t>https://tore.tuhh.de/dspace-cris-server/api/core/bitstreams/52284e8a-0603-49db-af5e-3489abd7762c/content</w:t>
        </w:r>
      </w:hyperlink>
      <w:r w:rsidR="006B366A" w:rsidRPr="00D1021A">
        <w:rPr>
          <w:rFonts w:ascii="Poppins" w:hAnsi="Poppins" w:cs="Poppins"/>
          <w:sz w:val="24"/>
          <w:szCs w:val="24"/>
        </w:rPr>
        <w:t xml:space="preserve"> [</w:t>
      </w:r>
      <w:r w:rsidR="00D948F5">
        <w:rPr>
          <w:rFonts w:ascii="Poppins" w:hAnsi="Poppins" w:cs="Poppins"/>
          <w:sz w:val="24"/>
          <w:szCs w:val="24"/>
        </w:rPr>
        <w:t>12</w:t>
      </w:r>
      <w:r w:rsidR="006B366A" w:rsidRPr="00D1021A">
        <w:rPr>
          <w:rFonts w:ascii="Poppins" w:hAnsi="Poppins" w:cs="Poppins"/>
          <w:sz w:val="24"/>
          <w:szCs w:val="24"/>
        </w:rPr>
        <w:t>.09.2024].</w:t>
      </w:r>
    </w:p>
    <w:p w14:paraId="2FBF44D7" w14:textId="78052066" w:rsidR="000B2B01" w:rsidRPr="006416ED" w:rsidRDefault="000B2B01" w:rsidP="009B614E">
      <w:pPr>
        <w:spacing w:before="240" w:line="360" w:lineRule="auto"/>
        <w:ind w:left="-20" w:right="-20"/>
        <w:rPr>
          <w:rFonts w:ascii="Poppins" w:hAnsi="Poppins" w:cs="Poppins"/>
          <w:sz w:val="24"/>
          <w:szCs w:val="24"/>
          <w:lang w:val="en-US"/>
        </w:rPr>
      </w:pPr>
      <w:proofErr w:type="spellStart"/>
      <w:r w:rsidRPr="00D1021A">
        <w:rPr>
          <w:rFonts w:ascii="Poppins" w:hAnsi="Poppins" w:cs="Poppins"/>
          <w:b/>
          <w:bCs/>
          <w:sz w:val="24"/>
          <w:szCs w:val="24"/>
        </w:rPr>
        <w:t>Atenas</w:t>
      </w:r>
      <w:proofErr w:type="spellEnd"/>
      <w:r w:rsidRPr="00D1021A">
        <w:rPr>
          <w:rFonts w:ascii="Poppins" w:hAnsi="Poppins" w:cs="Poppins"/>
          <w:b/>
          <w:bCs/>
          <w:sz w:val="24"/>
          <w:szCs w:val="24"/>
        </w:rPr>
        <w:t xml:space="preserve">, J., Ebner, M., Ehler, U. D., </w:t>
      </w:r>
      <w:proofErr w:type="spellStart"/>
      <w:r w:rsidRPr="00D1021A">
        <w:rPr>
          <w:rFonts w:ascii="Poppins" w:hAnsi="Poppins" w:cs="Poppins"/>
          <w:b/>
          <w:bCs/>
          <w:sz w:val="24"/>
          <w:szCs w:val="24"/>
        </w:rPr>
        <w:t>Nascimbeni</w:t>
      </w:r>
      <w:proofErr w:type="spellEnd"/>
      <w:r w:rsidRPr="00D1021A">
        <w:rPr>
          <w:rFonts w:ascii="Poppins" w:hAnsi="Poppins" w:cs="Poppins"/>
          <w:b/>
          <w:bCs/>
          <w:sz w:val="24"/>
          <w:szCs w:val="24"/>
        </w:rPr>
        <w:t>, F., &amp; Schön, S. (2024).</w:t>
      </w:r>
      <w:r w:rsidRPr="00D1021A">
        <w:rPr>
          <w:rFonts w:ascii="Poppins" w:hAnsi="Poppins" w:cs="Poppins"/>
          <w:sz w:val="24"/>
          <w:szCs w:val="24"/>
        </w:rPr>
        <w:t xml:space="preserve"> </w:t>
      </w:r>
      <w:r w:rsidRPr="006416ED">
        <w:rPr>
          <w:rFonts w:ascii="Poppins" w:hAnsi="Poppins" w:cs="Poppins"/>
          <w:sz w:val="24"/>
          <w:szCs w:val="24"/>
          <w:lang w:val="en-US"/>
        </w:rPr>
        <w:t xml:space="preserve">An introduction to open educational resources and their implementation in higher education worldwide. </w:t>
      </w:r>
      <w:proofErr w:type="spellStart"/>
      <w:r w:rsidRPr="006416ED">
        <w:rPr>
          <w:rFonts w:ascii="Poppins" w:hAnsi="Poppins" w:cs="Poppins"/>
          <w:sz w:val="24"/>
          <w:szCs w:val="24"/>
          <w:lang w:val="en-US"/>
        </w:rPr>
        <w:t>Weizenbaum</w:t>
      </w:r>
      <w:proofErr w:type="spellEnd"/>
      <w:r w:rsidRPr="006416ED">
        <w:rPr>
          <w:rFonts w:ascii="Poppins" w:hAnsi="Poppins" w:cs="Poppins"/>
          <w:sz w:val="24"/>
          <w:szCs w:val="24"/>
          <w:lang w:val="en-US"/>
        </w:rPr>
        <w:t xml:space="preserve"> Journal of the Digital Society, 4(4).</w:t>
      </w:r>
      <w:r w:rsidR="006B366A" w:rsidRPr="006416ED">
        <w:rPr>
          <w:rFonts w:ascii="Poppins" w:hAnsi="Poppins" w:cs="Poppins"/>
          <w:sz w:val="24"/>
          <w:szCs w:val="24"/>
          <w:lang w:val="en-US"/>
        </w:rPr>
        <w:t xml:space="preserve"> Online </w:t>
      </w:r>
      <w:proofErr w:type="spellStart"/>
      <w:r w:rsidR="006B366A" w:rsidRPr="006416ED">
        <w:rPr>
          <w:rFonts w:ascii="Poppins" w:hAnsi="Poppins" w:cs="Poppins"/>
          <w:sz w:val="24"/>
          <w:szCs w:val="24"/>
          <w:lang w:val="en-US"/>
        </w:rPr>
        <w:t>verfügbar</w:t>
      </w:r>
      <w:proofErr w:type="spellEnd"/>
      <w:r w:rsidR="006B366A" w:rsidRPr="006416ED">
        <w:rPr>
          <w:rFonts w:ascii="Poppins" w:hAnsi="Poppins" w:cs="Poppins"/>
          <w:sz w:val="24"/>
          <w:szCs w:val="24"/>
          <w:lang w:val="en-US"/>
        </w:rPr>
        <w:t xml:space="preserve"> </w:t>
      </w:r>
      <w:proofErr w:type="spellStart"/>
      <w:r w:rsidR="006B366A" w:rsidRPr="006416ED">
        <w:rPr>
          <w:rFonts w:ascii="Poppins" w:hAnsi="Poppins" w:cs="Poppins"/>
          <w:sz w:val="24"/>
          <w:szCs w:val="24"/>
          <w:lang w:val="en-US"/>
        </w:rPr>
        <w:t>unter</w:t>
      </w:r>
      <w:proofErr w:type="spellEnd"/>
      <w:r w:rsidR="006B366A" w:rsidRPr="006416ED">
        <w:rPr>
          <w:rFonts w:ascii="Poppins" w:hAnsi="Poppins" w:cs="Poppins"/>
          <w:sz w:val="24"/>
          <w:szCs w:val="24"/>
          <w:lang w:val="en-US"/>
        </w:rPr>
        <w:t xml:space="preserve">: </w:t>
      </w:r>
      <w:hyperlink r:id="rId17" w:history="1">
        <w:r w:rsidR="006B366A" w:rsidRPr="006416ED">
          <w:rPr>
            <w:rStyle w:val="Hyperlink"/>
            <w:rFonts w:ascii="Poppins" w:hAnsi="Poppins" w:cs="Poppins"/>
            <w:sz w:val="24"/>
            <w:szCs w:val="24"/>
            <w:lang w:val="en-US"/>
          </w:rPr>
          <w:t>https://oars.uos.ac.uk/3864/1/An%20Introduction%20to%20Open%20Educational%20Resources---.pdf</w:t>
        </w:r>
      </w:hyperlink>
      <w:r w:rsidR="006B366A" w:rsidRPr="006416ED">
        <w:rPr>
          <w:rFonts w:ascii="Poppins" w:hAnsi="Poppins" w:cs="Poppins"/>
          <w:sz w:val="24"/>
          <w:szCs w:val="24"/>
          <w:lang w:val="en-US"/>
        </w:rPr>
        <w:t xml:space="preserve"> [</w:t>
      </w:r>
      <w:r w:rsidR="00D948F5" w:rsidRPr="006416ED">
        <w:rPr>
          <w:rFonts w:ascii="Poppins" w:hAnsi="Poppins" w:cs="Poppins"/>
          <w:sz w:val="24"/>
          <w:szCs w:val="24"/>
          <w:lang w:val="en-US"/>
        </w:rPr>
        <w:t>12</w:t>
      </w:r>
      <w:r w:rsidR="006B366A" w:rsidRPr="006416ED">
        <w:rPr>
          <w:rFonts w:ascii="Poppins" w:hAnsi="Poppins" w:cs="Poppins"/>
          <w:sz w:val="24"/>
          <w:szCs w:val="24"/>
          <w:lang w:val="en-US"/>
        </w:rPr>
        <w:t>.09.2024].</w:t>
      </w:r>
    </w:p>
    <w:p w14:paraId="53227832" w14:textId="073B3005" w:rsidR="00283F48" w:rsidRPr="00D1021A" w:rsidRDefault="00283F48" w:rsidP="009B614E">
      <w:pPr>
        <w:spacing w:before="240" w:line="360" w:lineRule="auto"/>
        <w:ind w:left="-20" w:right="-20"/>
        <w:rPr>
          <w:rFonts w:ascii="Poppins" w:hAnsi="Poppins" w:cs="Poppins"/>
          <w:sz w:val="24"/>
          <w:szCs w:val="24"/>
        </w:rPr>
      </w:pPr>
      <w:r w:rsidRPr="006416ED">
        <w:rPr>
          <w:rFonts w:ascii="Poppins" w:hAnsi="Poppins" w:cs="Poppins"/>
          <w:b/>
          <w:bCs/>
          <w:sz w:val="24"/>
          <w:szCs w:val="24"/>
          <w:lang w:val="en-US"/>
        </w:rPr>
        <w:t>Beaven, T. (2018).</w:t>
      </w:r>
      <w:r w:rsidRPr="006416ED">
        <w:rPr>
          <w:rFonts w:ascii="Poppins" w:hAnsi="Poppins" w:cs="Poppins"/>
          <w:sz w:val="24"/>
          <w:szCs w:val="24"/>
          <w:lang w:val="en-US"/>
        </w:rPr>
        <w:t xml:space="preserve"> ‘Dark reuse’: an empirical study of teachers’ OER engagement. </w:t>
      </w:r>
      <w:r w:rsidRPr="00D1021A">
        <w:rPr>
          <w:rFonts w:ascii="Poppins" w:hAnsi="Poppins" w:cs="Poppins"/>
          <w:sz w:val="24"/>
          <w:szCs w:val="24"/>
        </w:rPr>
        <w:t>Open Praxis, 10(4), 377-391</w:t>
      </w:r>
      <w:r w:rsidR="00D948F5">
        <w:rPr>
          <w:rFonts w:ascii="Poppins" w:hAnsi="Poppins" w:cs="Poppins"/>
          <w:sz w:val="24"/>
          <w:szCs w:val="24"/>
        </w:rPr>
        <w:t xml:space="preserve">. Online verfügbar unter: </w:t>
      </w:r>
      <w:hyperlink r:id="rId18" w:history="1">
        <w:r w:rsidR="00D948F5" w:rsidRPr="00D948F5">
          <w:rPr>
            <w:rStyle w:val="Hyperlink"/>
            <w:rFonts w:ascii="Poppins" w:hAnsi="Poppins" w:cs="Poppins"/>
            <w:sz w:val="24"/>
            <w:szCs w:val="24"/>
          </w:rPr>
          <w:t>https://openpraxis.org/articles/10.5944/openpraxis.10.4.889</w:t>
        </w:r>
      </w:hyperlink>
      <w:r w:rsidR="00D948F5" w:rsidRPr="00D948F5">
        <w:rPr>
          <w:rFonts w:ascii="Poppins" w:hAnsi="Poppins" w:cs="Poppins"/>
          <w:sz w:val="28"/>
          <w:szCs w:val="28"/>
        </w:rPr>
        <w:t xml:space="preserve"> </w:t>
      </w:r>
      <w:r w:rsidR="006B366A" w:rsidRPr="00D1021A">
        <w:rPr>
          <w:rFonts w:ascii="Poppins" w:hAnsi="Poppins" w:cs="Poppins"/>
          <w:sz w:val="24"/>
          <w:szCs w:val="24"/>
        </w:rPr>
        <w:t>[</w:t>
      </w:r>
      <w:r w:rsidR="00D948F5">
        <w:rPr>
          <w:rFonts w:ascii="Poppins" w:hAnsi="Poppins" w:cs="Poppins"/>
          <w:sz w:val="24"/>
          <w:szCs w:val="24"/>
        </w:rPr>
        <w:t>12</w:t>
      </w:r>
      <w:r w:rsidR="006B366A" w:rsidRPr="00D1021A">
        <w:rPr>
          <w:rFonts w:ascii="Poppins" w:hAnsi="Poppins" w:cs="Poppins"/>
          <w:sz w:val="24"/>
          <w:szCs w:val="24"/>
        </w:rPr>
        <w:t>.09.2024].</w:t>
      </w:r>
    </w:p>
    <w:p w14:paraId="077BF7C8" w14:textId="6E4D3FB6" w:rsidR="00580289" w:rsidRPr="00D1021A" w:rsidRDefault="00580289" w:rsidP="00D948F5">
      <w:pPr>
        <w:spacing w:after="0" w:line="360" w:lineRule="auto"/>
        <w:rPr>
          <w:rFonts w:ascii="Poppins" w:eastAsia="Times New Roman" w:hAnsi="Poppins" w:cs="Poppins"/>
          <w:sz w:val="24"/>
          <w:szCs w:val="24"/>
          <w:lang w:eastAsia="de-DE"/>
        </w:rPr>
      </w:pPr>
      <w:r w:rsidRPr="00D1021A">
        <w:rPr>
          <w:rFonts w:ascii="Poppins" w:eastAsia="Times New Roman" w:hAnsi="Poppins" w:cs="Poppins"/>
          <w:b/>
          <w:bCs/>
          <w:sz w:val="24"/>
          <w:szCs w:val="24"/>
          <w:lang w:eastAsia="de-DE"/>
        </w:rPr>
        <w:t xml:space="preserve">Berger, J., </w:t>
      </w:r>
      <w:proofErr w:type="spellStart"/>
      <w:r w:rsidRPr="00D1021A">
        <w:rPr>
          <w:rFonts w:ascii="Poppins" w:eastAsia="Times New Roman" w:hAnsi="Poppins" w:cs="Poppins"/>
          <w:b/>
          <w:bCs/>
          <w:sz w:val="24"/>
          <w:szCs w:val="24"/>
          <w:lang w:eastAsia="de-DE"/>
        </w:rPr>
        <w:t>Maitz</w:t>
      </w:r>
      <w:proofErr w:type="spellEnd"/>
      <w:r w:rsidRPr="00D1021A">
        <w:rPr>
          <w:rFonts w:ascii="Poppins" w:eastAsia="Times New Roman" w:hAnsi="Poppins" w:cs="Poppins"/>
          <w:b/>
          <w:bCs/>
          <w:sz w:val="24"/>
          <w:szCs w:val="24"/>
          <w:lang w:eastAsia="de-DE"/>
        </w:rPr>
        <w:t>, K. &amp; Gasteiger-</w:t>
      </w:r>
      <w:proofErr w:type="spellStart"/>
      <w:r w:rsidRPr="00D1021A">
        <w:rPr>
          <w:rFonts w:ascii="Poppins" w:eastAsia="Times New Roman" w:hAnsi="Poppins" w:cs="Poppins"/>
          <w:b/>
          <w:bCs/>
          <w:sz w:val="24"/>
          <w:szCs w:val="24"/>
          <w:lang w:eastAsia="de-DE"/>
        </w:rPr>
        <w:t>Klicpera</w:t>
      </w:r>
      <w:proofErr w:type="spellEnd"/>
      <w:r w:rsidRPr="00D1021A">
        <w:rPr>
          <w:rFonts w:ascii="Poppins" w:eastAsia="Times New Roman" w:hAnsi="Poppins" w:cs="Poppins"/>
          <w:b/>
          <w:bCs/>
          <w:sz w:val="24"/>
          <w:szCs w:val="24"/>
          <w:lang w:eastAsia="de-DE"/>
        </w:rPr>
        <w:t>, B. (2023).</w:t>
      </w:r>
      <w:r w:rsidRPr="00D1021A">
        <w:rPr>
          <w:rFonts w:ascii="Poppins" w:eastAsia="Times New Roman" w:hAnsi="Poppins" w:cs="Poppins"/>
          <w:sz w:val="24"/>
          <w:szCs w:val="24"/>
          <w:lang w:eastAsia="de-DE"/>
        </w:rPr>
        <w:t xml:space="preserve"> Open Educational Resources im</w:t>
      </w:r>
      <w:r w:rsidR="00D948F5">
        <w:rPr>
          <w:rFonts w:ascii="Poppins" w:eastAsia="Times New Roman" w:hAnsi="Poppins" w:cs="Poppins"/>
          <w:sz w:val="24"/>
          <w:szCs w:val="24"/>
          <w:lang w:eastAsia="de-DE"/>
        </w:rPr>
        <w:t xml:space="preserve"> </w:t>
      </w:r>
      <w:r w:rsidRPr="00D1021A">
        <w:rPr>
          <w:rFonts w:ascii="Poppins" w:eastAsia="Times New Roman" w:hAnsi="Poppins" w:cs="Poppins"/>
          <w:sz w:val="24"/>
          <w:szCs w:val="24"/>
          <w:lang w:eastAsia="de-DE"/>
        </w:rPr>
        <w:t>inklusiven Unterricht: Eine qualitative Interviewstudie zu Nutzungspraktiken und Weiterbildungsbedarfen von Lehrpersonen</w:t>
      </w:r>
      <w:r w:rsidRPr="00D1021A">
        <w:rPr>
          <w:rFonts w:ascii="Poppins" w:eastAsia="Times New Roman" w:hAnsi="Poppins" w:cs="Poppins"/>
          <w:i/>
          <w:iCs/>
          <w:sz w:val="24"/>
          <w:szCs w:val="24"/>
          <w:lang w:eastAsia="de-DE"/>
        </w:rPr>
        <w:t>.</w:t>
      </w:r>
      <w:r w:rsidRPr="00D1021A">
        <w:rPr>
          <w:rFonts w:ascii="Poppins" w:eastAsia="Times New Roman" w:hAnsi="Poppins" w:cs="Poppins"/>
          <w:sz w:val="24"/>
          <w:szCs w:val="24"/>
          <w:lang w:eastAsia="de-DE"/>
        </w:rPr>
        <w:t xml:space="preserve"> </w:t>
      </w:r>
      <w:proofErr w:type="spellStart"/>
      <w:r w:rsidRPr="00D1021A">
        <w:rPr>
          <w:rFonts w:ascii="Poppins" w:eastAsia="Times New Roman" w:hAnsi="Poppins" w:cs="Poppins"/>
          <w:i/>
          <w:iCs/>
          <w:sz w:val="24"/>
          <w:szCs w:val="24"/>
          <w:lang w:eastAsia="de-DE"/>
        </w:rPr>
        <w:t>QfI</w:t>
      </w:r>
      <w:proofErr w:type="spellEnd"/>
      <w:r w:rsidRPr="00D1021A">
        <w:rPr>
          <w:rFonts w:ascii="Poppins" w:eastAsia="Times New Roman" w:hAnsi="Poppins" w:cs="Poppins"/>
          <w:i/>
          <w:iCs/>
          <w:sz w:val="24"/>
          <w:szCs w:val="24"/>
          <w:lang w:eastAsia="de-DE"/>
        </w:rPr>
        <w:t xml:space="preserve"> - Qualifizierung für Inklusion</w:t>
      </w:r>
      <w:r w:rsidRPr="00D1021A">
        <w:rPr>
          <w:rFonts w:ascii="Poppins" w:eastAsia="Times New Roman" w:hAnsi="Poppins" w:cs="Poppins"/>
          <w:sz w:val="24"/>
          <w:szCs w:val="24"/>
          <w:lang w:eastAsia="de-DE"/>
        </w:rPr>
        <w:t xml:space="preserve">, 5(2). </w:t>
      </w:r>
      <w:r w:rsidR="00F3327E" w:rsidRPr="00D1021A">
        <w:rPr>
          <w:rFonts w:ascii="Poppins" w:eastAsia="Calibri" w:hAnsi="Poppins" w:cs="Poppins"/>
          <w:color w:val="000000" w:themeColor="text1"/>
          <w:sz w:val="24"/>
          <w:szCs w:val="24"/>
        </w:rPr>
        <w:t xml:space="preserve">Online verfügbar unter: </w:t>
      </w:r>
      <w:r w:rsidR="00D948F5">
        <w:rPr>
          <w:rFonts w:ascii="Poppins" w:eastAsia="Calibri" w:hAnsi="Poppins" w:cs="Poppins"/>
          <w:color w:val="000000" w:themeColor="text1"/>
          <w:sz w:val="24"/>
          <w:szCs w:val="24"/>
        </w:rPr>
        <w:t xml:space="preserve"> </w:t>
      </w:r>
      <w:hyperlink r:id="rId19" w:history="1">
        <w:r w:rsidR="00D948F5" w:rsidRPr="00D948F5">
          <w:rPr>
            <w:rStyle w:val="Hyperlink"/>
            <w:rFonts w:ascii="Poppins" w:hAnsi="Poppins" w:cs="Poppins"/>
            <w:sz w:val="24"/>
            <w:szCs w:val="24"/>
          </w:rPr>
          <w:t>https://www.pedocs.de/volltexte/2024/30173/pdf/QfI_2023_2_Berger_et_al_Open_Educational_Resources_im_inklusiven.pdf</w:t>
        </w:r>
      </w:hyperlink>
      <w:r w:rsidR="00D948F5" w:rsidRPr="00D1021A">
        <w:rPr>
          <w:rFonts w:ascii="Poppins" w:eastAsia="Calibri" w:hAnsi="Poppins" w:cs="Poppins"/>
          <w:color w:val="000000" w:themeColor="text1"/>
          <w:sz w:val="24"/>
          <w:szCs w:val="24"/>
        </w:rPr>
        <w:t xml:space="preserve"> </w:t>
      </w:r>
      <w:r w:rsidR="006B366A" w:rsidRPr="00D1021A">
        <w:rPr>
          <w:rFonts w:ascii="Poppins" w:eastAsia="Calibri" w:hAnsi="Poppins" w:cs="Poppins"/>
          <w:color w:val="000000" w:themeColor="text1"/>
          <w:sz w:val="24"/>
          <w:szCs w:val="24"/>
        </w:rPr>
        <w:t>[</w:t>
      </w:r>
      <w:r w:rsidR="00790313">
        <w:rPr>
          <w:rFonts w:ascii="Poppins" w:eastAsia="Calibri" w:hAnsi="Poppins" w:cs="Poppins"/>
          <w:color w:val="000000" w:themeColor="text1"/>
          <w:sz w:val="24"/>
          <w:szCs w:val="24"/>
        </w:rPr>
        <w:t>12</w:t>
      </w:r>
      <w:r w:rsidR="006B366A" w:rsidRPr="00D1021A">
        <w:rPr>
          <w:rFonts w:ascii="Poppins" w:eastAsia="Calibri" w:hAnsi="Poppins" w:cs="Poppins"/>
          <w:color w:val="000000" w:themeColor="text1"/>
          <w:sz w:val="24"/>
          <w:szCs w:val="24"/>
        </w:rPr>
        <w:t>.09.2024].</w:t>
      </w:r>
      <w:hyperlink w:history="1"/>
    </w:p>
    <w:p w14:paraId="49E807E5" w14:textId="414B9892" w:rsidR="0040385C" w:rsidRPr="00D1021A" w:rsidRDefault="00046E90" w:rsidP="009B614E">
      <w:pPr>
        <w:spacing w:before="240" w:line="360" w:lineRule="auto"/>
        <w:ind w:left="-20" w:right="-20"/>
        <w:rPr>
          <w:rFonts w:ascii="Poppins" w:eastAsia="Calibri" w:hAnsi="Poppins" w:cs="Poppins"/>
          <w:sz w:val="24"/>
          <w:szCs w:val="24"/>
        </w:rPr>
      </w:pPr>
      <w:r w:rsidRPr="00D1021A">
        <w:rPr>
          <w:rFonts w:ascii="Poppins" w:eastAsia="Calibri" w:hAnsi="Poppins" w:cs="Poppins"/>
          <w:b/>
          <w:bCs/>
          <w:sz w:val="24"/>
          <w:szCs w:val="24"/>
        </w:rPr>
        <w:t xml:space="preserve">Brückner, J. (2018). </w:t>
      </w:r>
      <w:r w:rsidRPr="00D1021A">
        <w:rPr>
          <w:rFonts w:ascii="Poppins" w:eastAsia="Calibri" w:hAnsi="Poppins" w:cs="Poppins"/>
          <w:sz w:val="24"/>
          <w:szCs w:val="24"/>
        </w:rPr>
        <w:t xml:space="preserve">Eine Frage der Qualität – Qualitätsforderungen an Open Educational Resources in Schule und Hochschule. </w:t>
      </w:r>
      <w:proofErr w:type="spellStart"/>
      <w:r w:rsidRPr="00D1021A">
        <w:rPr>
          <w:rFonts w:ascii="Poppins" w:eastAsia="Calibri" w:hAnsi="Poppins" w:cs="Poppins"/>
          <w:sz w:val="24"/>
          <w:szCs w:val="24"/>
        </w:rPr>
        <w:t>MedienPädagogik</w:t>
      </w:r>
      <w:proofErr w:type="spellEnd"/>
      <w:r w:rsidRPr="00D1021A">
        <w:rPr>
          <w:rFonts w:ascii="Poppins" w:eastAsia="Calibri" w:hAnsi="Poppins" w:cs="Poppins"/>
          <w:sz w:val="24"/>
          <w:szCs w:val="24"/>
        </w:rPr>
        <w:t xml:space="preserve">: </w:t>
      </w:r>
      <w:r w:rsidRPr="00D1021A">
        <w:rPr>
          <w:rFonts w:ascii="Poppins" w:eastAsia="Calibri" w:hAnsi="Poppins" w:cs="Poppins"/>
          <w:sz w:val="24"/>
          <w:szCs w:val="24"/>
        </w:rPr>
        <w:lastRenderedPageBreak/>
        <w:t>Zeitschrift für Theorie und Praxis der Medienbildung, 32, 51-62.</w:t>
      </w:r>
      <w:r w:rsidR="006B366A" w:rsidRPr="00D1021A">
        <w:rPr>
          <w:rFonts w:ascii="Poppins" w:eastAsia="Calibri" w:hAnsi="Poppins" w:cs="Poppins"/>
          <w:sz w:val="24"/>
          <w:szCs w:val="24"/>
        </w:rPr>
        <w:t xml:space="preserve"> </w:t>
      </w:r>
      <w:hyperlink r:id="rId20" w:history="1">
        <w:r w:rsidR="00790313" w:rsidRPr="00426F95">
          <w:rPr>
            <w:rStyle w:val="Hyperlink"/>
            <w:rFonts w:ascii="Poppins" w:eastAsia="Calibri" w:hAnsi="Poppins" w:cs="Poppins"/>
            <w:sz w:val="24"/>
            <w:szCs w:val="24"/>
          </w:rPr>
          <w:t>https://doi.org/10.21240/mpaed/32/2018.10.23.X</w:t>
        </w:r>
      </w:hyperlink>
      <w:r w:rsidR="00790313">
        <w:rPr>
          <w:rFonts w:ascii="Poppins" w:eastAsia="Calibri" w:hAnsi="Poppins" w:cs="Poppins"/>
          <w:sz w:val="24"/>
          <w:szCs w:val="24"/>
        </w:rPr>
        <w:t xml:space="preserve">. </w:t>
      </w:r>
    </w:p>
    <w:p w14:paraId="09471E71" w14:textId="4BB8E221" w:rsidR="0040385C" w:rsidRPr="00D1021A" w:rsidRDefault="00046E90" w:rsidP="009B614E">
      <w:pPr>
        <w:spacing w:before="240" w:line="360" w:lineRule="auto"/>
        <w:ind w:left="-20" w:right="-20"/>
        <w:rPr>
          <w:rFonts w:ascii="Poppins" w:eastAsia="Calibri" w:hAnsi="Poppins" w:cs="Poppins"/>
          <w:color w:val="000000" w:themeColor="text1"/>
          <w:sz w:val="24"/>
          <w:szCs w:val="24"/>
        </w:rPr>
      </w:pPr>
      <w:r w:rsidRPr="00D1021A">
        <w:rPr>
          <w:rFonts w:ascii="Poppins" w:eastAsia="Calibri" w:hAnsi="Poppins" w:cs="Poppins"/>
          <w:b/>
          <w:bCs/>
          <w:color w:val="000000" w:themeColor="text1"/>
          <w:sz w:val="24"/>
          <w:szCs w:val="24"/>
        </w:rPr>
        <w:t>Bundesministerium für wirtschaftliche Zusammenarbeit und Entwicklung (BMZ) (2024).</w:t>
      </w:r>
      <w:r w:rsidRPr="00D1021A">
        <w:rPr>
          <w:rFonts w:ascii="Poppins" w:eastAsia="Calibri" w:hAnsi="Poppins" w:cs="Poppins"/>
          <w:color w:val="000000" w:themeColor="text1"/>
          <w:sz w:val="24"/>
          <w:szCs w:val="24"/>
        </w:rPr>
        <w:t xml:space="preserve"> Bildung – ein Menschenrecht. Online verfügbar unter: </w:t>
      </w:r>
      <w:hyperlink r:id="rId21" w:history="1">
        <w:r w:rsidR="00790313">
          <w:rPr>
            <w:rStyle w:val="Hyperlink"/>
            <w:rFonts w:ascii="Poppins" w:eastAsia="Calibri" w:hAnsi="Poppins" w:cs="Poppins"/>
            <w:sz w:val="24"/>
            <w:szCs w:val="24"/>
          </w:rPr>
          <w:t>https://www.bmz.de/de/themen/menschenrecht-bildung</w:t>
        </w:r>
      </w:hyperlink>
      <w:r w:rsidRPr="00D1021A">
        <w:rPr>
          <w:rFonts w:ascii="Poppins" w:eastAsia="Calibri" w:hAnsi="Poppins" w:cs="Poppins"/>
          <w:color w:val="000000" w:themeColor="text1"/>
          <w:sz w:val="24"/>
          <w:szCs w:val="24"/>
        </w:rPr>
        <w:t xml:space="preserve"> [</w:t>
      </w:r>
      <w:r w:rsidR="00790313">
        <w:rPr>
          <w:rFonts w:ascii="Poppins" w:eastAsia="Calibri" w:hAnsi="Poppins" w:cs="Poppins"/>
          <w:color w:val="000000" w:themeColor="text1"/>
          <w:sz w:val="24"/>
          <w:szCs w:val="24"/>
        </w:rPr>
        <w:t>12</w:t>
      </w:r>
      <w:r w:rsidRPr="00D1021A">
        <w:rPr>
          <w:rFonts w:ascii="Poppins" w:eastAsia="Calibri" w:hAnsi="Poppins" w:cs="Poppins"/>
          <w:color w:val="000000" w:themeColor="text1"/>
          <w:sz w:val="24"/>
          <w:szCs w:val="24"/>
        </w:rPr>
        <w:t>.</w:t>
      </w:r>
      <w:r w:rsidR="00790313">
        <w:rPr>
          <w:rFonts w:ascii="Poppins" w:eastAsia="Calibri" w:hAnsi="Poppins" w:cs="Poppins"/>
          <w:color w:val="000000" w:themeColor="text1"/>
          <w:sz w:val="24"/>
          <w:szCs w:val="24"/>
        </w:rPr>
        <w:t>09</w:t>
      </w:r>
      <w:r w:rsidRPr="00D1021A">
        <w:rPr>
          <w:rFonts w:ascii="Poppins" w:eastAsia="Calibri" w:hAnsi="Poppins" w:cs="Poppins"/>
          <w:color w:val="000000" w:themeColor="text1"/>
          <w:sz w:val="24"/>
          <w:szCs w:val="24"/>
        </w:rPr>
        <w:t>.</w:t>
      </w:r>
      <w:r w:rsidR="00CB2C7B" w:rsidRPr="00D1021A">
        <w:rPr>
          <w:rFonts w:ascii="Poppins" w:eastAsia="Calibri" w:hAnsi="Poppins" w:cs="Poppins"/>
          <w:color w:val="000000" w:themeColor="text1"/>
          <w:sz w:val="24"/>
          <w:szCs w:val="24"/>
        </w:rPr>
        <w:t>20</w:t>
      </w:r>
      <w:r w:rsidRPr="00D1021A">
        <w:rPr>
          <w:rFonts w:ascii="Poppins" w:eastAsia="Calibri" w:hAnsi="Poppins" w:cs="Poppins"/>
          <w:color w:val="000000" w:themeColor="text1"/>
          <w:sz w:val="24"/>
          <w:szCs w:val="24"/>
        </w:rPr>
        <w:t>24].</w:t>
      </w:r>
    </w:p>
    <w:p w14:paraId="08679DA9" w14:textId="48F7505F" w:rsidR="0040385C" w:rsidRPr="00D1021A" w:rsidRDefault="00046E90" w:rsidP="009B614E">
      <w:pPr>
        <w:spacing w:before="240" w:line="360" w:lineRule="auto"/>
        <w:ind w:left="-20" w:right="-20"/>
        <w:rPr>
          <w:rFonts w:ascii="Poppins" w:hAnsi="Poppins" w:cs="Poppins"/>
          <w:sz w:val="24"/>
          <w:szCs w:val="24"/>
        </w:rPr>
      </w:pPr>
      <w:proofErr w:type="spellStart"/>
      <w:r w:rsidRPr="00D1021A">
        <w:rPr>
          <w:rFonts w:ascii="Poppins" w:hAnsi="Poppins" w:cs="Poppins"/>
          <w:b/>
          <w:bCs/>
          <w:sz w:val="24"/>
          <w:szCs w:val="24"/>
        </w:rPr>
        <w:t>Deimann</w:t>
      </w:r>
      <w:proofErr w:type="spellEnd"/>
      <w:r w:rsidRPr="00D1021A">
        <w:rPr>
          <w:rFonts w:ascii="Poppins" w:hAnsi="Poppins" w:cs="Poppins"/>
          <w:b/>
          <w:bCs/>
          <w:sz w:val="24"/>
          <w:szCs w:val="24"/>
        </w:rPr>
        <w:t>, M. (2012).</w:t>
      </w:r>
      <w:r w:rsidRPr="00D1021A">
        <w:rPr>
          <w:rFonts w:ascii="Poppins" w:hAnsi="Poppins" w:cs="Poppins"/>
          <w:sz w:val="24"/>
          <w:szCs w:val="24"/>
        </w:rPr>
        <w:t xml:space="preserve"> Offene Bildung und offenes Lernen</w:t>
      </w:r>
      <w:r w:rsidR="000865CA" w:rsidRPr="00D1021A">
        <w:rPr>
          <w:rFonts w:ascii="Poppins" w:hAnsi="Poppins" w:cs="Poppins"/>
          <w:sz w:val="24"/>
          <w:szCs w:val="24"/>
        </w:rPr>
        <w:t xml:space="preserve"> </w:t>
      </w:r>
      <w:r w:rsidRPr="00D1021A">
        <w:rPr>
          <w:rFonts w:ascii="Poppins" w:hAnsi="Poppins" w:cs="Poppins"/>
          <w:sz w:val="24"/>
          <w:szCs w:val="24"/>
        </w:rPr>
        <w:t>–</w:t>
      </w:r>
      <w:r w:rsidR="000865CA" w:rsidRPr="00D1021A">
        <w:rPr>
          <w:rFonts w:ascii="Poppins" w:hAnsi="Poppins" w:cs="Poppins"/>
          <w:sz w:val="24"/>
          <w:szCs w:val="24"/>
        </w:rPr>
        <w:t xml:space="preserve"> </w:t>
      </w:r>
      <w:r w:rsidRPr="00D1021A">
        <w:rPr>
          <w:rFonts w:ascii="Poppins" w:hAnsi="Poppins" w:cs="Poppins"/>
          <w:sz w:val="24"/>
          <w:szCs w:val="24"/>
        </w:rPr>
        <w:t>mehr als nur eine Alternative für E-Learning. Handbuch E-Learning, Expertenwissen aus Wissenschaft und Praxis.</w:t>
      </w:r>
    </w:p>
    <w:p w14:paraId="6457E256" w14:textId="4ACDCEE7" w:rsidR="00EB557D" w:rsidRPr="006416ED" w:rsidRDefault="00A96F0F" w:rsidP="009B614E">
      <w:pPr>
        <w:spacing w:before="240" w:line="360" w:lineRule="auto"/>
        <w:ind w:left="-20" w:right="-20"/>
        <w:rPr>
          <w:rFonts w:ascii="Poppins" w:hAnsi="Poppins" w:cs="Poppins"/>
          <w:sz w:val="24"/>
          <w:szCs w:val="24"/>
          <w:lang w:val="en-US"/>
        </w:rPr>
      </w:pPr>
      <w:r w:rsidRPr="00D1021A">
        <w:rPr>
          <w:rFonts w:ascii="Poppins" w:hAnsi="Poppins" w:cs="Poppins"/>
          <w:b/>
          <w:bCs/>
          <w:sz w:val="24"/>
          <w:szCs w:val="24"/>
        </w:rPr>
        <w:t>Deming, W. E. (1953).</w:t>
      </w:r>
      <w:r w:rsidRPr="00D1021A">
        <w:rPr>
          <w:rFonts w:ascii="Poppins" w:hAnsi="Poppins" w:cs="Poppins"/>
          <w:sz w:val="24"/>
          <w:szCs w:val="24"/>
        </w:rPr>
        <w:t xml:space="preserve"> </w:t>
      </w:r>
      <w:r w:rsidRPr="006416ED">
        <w:rPr>
          <w:rFonts w:ascii="Poppins" w:hAnsi="Poppins" w:cs="Poppins"/>
          <w:sz w:val="24"/>
          <w:szCs w:val="24"/>
          <w:lang w:val="en-US"/>
        </w:rPr>
        <w:t>Statistical techniques and international trade. Journal of Marketing, 17(4), 428-433.</w:t>
      </w:r>
      <w:r w:rsidR="00CB2C7B" w:rsidRPr="006416ED">
        <w:rPr>
          <w:rFonts w:ascii="Poppins" w:hAnsi="Poppins" w:cs="Poppins"/>
          <w:sz w:val="24"/>
          <w:szCs w:val="24"/>
          <w:lang w:val="en-US"/>
        </w:rPr>
        <w:t xml:space="preserve"> Online </w:t>
      </w:r>
      <w:proofErr w:type="spellStart"/>
      <w:r w:rsidR="00CB2C7B" w:rsidRPr="006416ED">
        <w:rPr>
          <w:rFonts w:ascii="Poppins" w:hAnsi="Poppins" w:cs="Poppins"/>
          <w:sz w:val="24"/>
          <w:szCs w:val="24"/>
          <w:lang w:val="en-US"/>
        </w:rPr>
        <w:t>verfügbar</w:t>
      </w:r>
      <w:proofErr w:type="spellEnd"/>
      <w:r w:rsidR="00CB2C7B" w:rsidRPr="006416ED">
        <w:rPr>
          <w:rFonts w:ascii="Poppins" w:hAnsi="Poppins" w:cs="Poppins"/>
          <w:sz w:val="24"/>
          <w:szCs w:val="24"/>
          <w:lang w:val="en-US"/>
        </w:rPr>
        <w:t xml:space="preserve"> </w:t>
      </w:r>
      <w:proofErr w:type="spellStart"/>
      <w:r w:rsidR="00CB2C7B" w:rsidRPr="006416ED">
        <w:rPr>
          <w:rFonts w:ascii="Poppins" w:hAnsi="Poppins" w:cs="Poppins"/>
          <w:sz w:val="24"/>
          <w:szCs w:val="24"/>
          <w:lang w:val="en-US"/>
        </w:rPr>
        <w:t>unter</w:t>
      </w:r>
      <w:proofErr w:type="spellEnd"/>
      <w:r w:rsidR="00CB2C7B" w:rsidRPr="006416ED">
        <w:rPr>
          <w:rFonts w:ascii="Poppins" w:hAnsi="Poppins" w:cs="Poppins"/>
          <w:sz w:val="24"/>
          <w:szCs w:val="24"/>
          <w:lang w:val="en-US"/>
        </w:rPr>
        <w:t xml:space="preserve">: </w:t>
      </w:r>
      <w:hyperlink r:id="rId22" w:history="1">
        <w:r w:rsidR="00CB2C7B" w:rsidRPr="006416ED">
          <w:rPr>
            <w:rStyle w:val="Hyperlink"/>
            <w:rFonts w:ascii="Poppins" w:hAnsi="Poppins" w:cs="Poppins"/>
            <w:sz w:val="24"/>
            <w:szCs w:val="24"/>
            <w:lang w:val="en-US"/>
          </w:rPr>
          <w:t>https://www.jstor.org/stable/pdf/1247021.pdf?casa_token=Tcna1zB2LksAAAAA:2zTZdew1wh2ho1pr9OXFFPQ8wTa05aDBHrD9-1eeIAI6sp9J-5rO21aB-eA4W8W9BSzJDoUOxrO9c58wFKtOLGI9vFRO6CpTsQlCNaOTu0xcUnTDPngo</w:t>
        </w:r>
      </w:hyperlink>
      <w:r w:rsidR="00CB2C7B" w:rsidRPr="006416ED">
        <w:rPr>
          <w:rFonts w:ascii="Poppins" w:hAnsi="Poppins" w:cs="Poppins"/>
          <w:sz w:val="24"/>
          <w:szCs w:val="24"/>
          <w:lang w:val="en-US"/>
        </w:rPr>
        <w:t xml:space="preserve"> [</w:t>
      </w:r>
      <w:r w:rsidR="00790313" w:rsidRPr="006416ED">
        <w:rPr>
          <w:rFonts w:ascii="Poppins" w:hAnsi="Poppins" w:cs="Poppins"/>
          <w:sz w:val="24"/>
          <w:szCs w:val="24"/>
          <w:lang w:val="en-US"/>
        </w:rPr>
        <w:t>12</w:t>
      </w:r>
      <w:r w:rsidR="00CB2C7B" w:rsidRPr="006416ED">
        <w:rPr>
          <w:rFonts w:ascii="Poppins" w:hAnsi="Poppins" w:cs="Poppins"/>
          <w:sz w:val="24"/>
          <w:szCs w:val="24"/>
          <w:lang w:val="en-US"/>
        </w:rPr>
        <w:t>.09.2024].</w:t>
      </w:r>
    </w:p>
    <w:p w14:paraId="0051922C" w14:textId="0FC0C728" w:rsidR="00550E7B" w:rsidRPr="00D1021A" w:rsidRDefault="00550E7B" w:rsidP="009B614E">
      <w:pPr>
        <w:spacing w:before="240" w:line="360" w:lineRule="auto"/>
        <w:ind w:left="-20" w:right="-20"/>
        <w:rPr>
          <w:rFonts w:ascii="Poppins" w:hAnsi="Poppins" w:cs="Poppins"/>
          <w:sz w:val="24"/>
          <w:szCs w:val="24"/>
        </w:rPr>
      </w:pPr>
      <w:r w:rsidRPr="006416ED">
        <w:rPr>
          <w:rFonts w:ascii="Poppins" w:hAnsi="Poppins" w:cs="Poppins"/>
          <w:b/>
          <w:bCs/>
          <w:sz w:val="24"/>
          <w:szCs w:val="24"/>
          <w:lang w:val="en-US"/>
        </w:rPr>
        <w:t>Deming, W. E. (2018).</w:t>
      </w:r>
      <w:r w:rsidRPr="006416ED">
        <w:rPr>
          <w:rFonts w:ascii="Poppins" w:hAnsi="Poppins" w:cs="Poppins"/>
          <w:sz w:val="24"/>
          <w:szCs w:val="24"/>
          <w:lang w:val="en-US"/>
        </w:rPr>
        <w:t xml:space="preserve"> Out of the Crisis, reissue. </w:t>
      </w:r>
      <w:r w:rsidR="00790313">
        <w:rPr>
          <w:rFonts w:ascii="Poppins" w:hAnsi="Poppins" w:cs="Poppins"/>
          <w:sz w:val="24"/>
          <w:szCs w:val="24"/>
        </w:rPr>
        <w:t xml:space="preserve">The </w:t>
      </w:r>
      <w:r w:rsidRPr="00D1021A">
        <w:rPr>
          <w:rFonts w:ascii="Poppins" w:hAnsi="Poppins" w:cs="Poppins"/>
          <w:sz w:val="24"/>
          <w:szCs w:val="24"/>
        </w:rPr>
        <w:t xml:space="preserve">MIT </w:t>
      </w:r>
      <w:r w:rsidR="00790313">
        <w:rPr>
          <w:rFonts w:ascii="Poppins" w:hAnsi="Poppins" w:cs="Poppins"/>
          <w:sz w:val="24"/>
          <w:szCs w:val="24"/>
        </w:rPr>
        <w:t>P</w:t>
      </w:r>
      <w:r w:rsidRPr="00D1021A">
        <w:rPr>
          <w:rFonts w:ascii="Poppins" w:hAnsi="Poppins" w:cs="Poppins"/>
          <w:sz w:val="24"/>
          <w:szCs w:val="24"/>
        </w:rPr>
        <w:t>ress.</w:t>
      </w:r>
    </w:p>
    <w:p w14:paraId="2C524FAE" w14:textId="06E7FCAC" w:rsidR="000A4ECE" w:rsidRPr="00D1021A" w:rsidRDefault="00742261" w:rsidP="00742261">
      <w:pPr>
        <w:spacing w:before="240" w:line="360" w:lineRule="auto"/>
        <w:ind w:left="-20" w:right="-20"/>
        <w:jc w:val="both"/>
        <w:rPr>
          <w:rFonts w:ascii="Poppins" w:eastAsia="Calibri" w:hAnsi="Poppins" w:cs="Poppins"/>
          <w:color w:val="000000" w:themeColor="text1"/>
          <w:sz w:val="24"/>
          <w:szCs w:val="24"/>
        </w:rPr>
      </w:pPr>
      <w:r w:rsidRPr="00D1021A">
        <w:rPr>
          <w:rFonts w:ascii="Poppins" w:eastAsia="Calibri" w:hAnsi="Poppins" w:cs="Poppins"/>
          <w:b/>
          <w:bCs/>
          <w:color w:val="000000" w:themeColor="text1"/>
          <w:sz w:val="24"/>
          <w:szCs w:val="24"/>
        </w:rPr>
        <w:t>Bundesministerium des Innern und für Heimat (BMI) (</w:t>
      </w:r>
      <w:r w:rsidR="000A4ECE" w:rsidRPr="00D1021A">
        <w:rPr>
          <w:rFonts w:ascii="Poppins" w:eastAsia="Calibri" w:hAnsi="Poppins" w:cs="Poppins"/>
          <w:b/>
          <w:bCs/>
          <w:color w:val="000000" w:themeColor="text1"/>
          <w:sz w:val="24"/>
          <w:szCs w:val="24"/>
        </w:rPr>
        <w:t>2024</w:t>
      </w:r>
      <w:r w:rsidRPr="00D1021A">
        <w:rPr>
          <w:rFonts w:ascii="Poppins" w:eastAsia="Calibri" w:hAnsi="Poppins" w:cs="Poppins"/>
          <w:b/>
          <w:bCs/>
          <w:color w:val="000000" w:themeColor="text1"/>
          <w:sz w:val="24"/>
          <w:szCs w:val="24"/>
        </w:rPr>
        <w:t>).</w:t>
      </w:r>
      <w:r w:rsidRPr="00D1021A">
        <w:rPr>
          <w:rFonts w:ascii="Poppins" w:eastAsia="Calibri" w:hAnsi="Poppins" w:cs="Poppins"/>
          <w:color w:val="000000" w:themeColor="text1"/>
          <w:sz w:val="24"/>
          <w:szCs w:val="24"/>
        </w:rPr>
        <w:t xml:space="preserve"> </w:t>
      </w:r>
      <w:r w:rsidRPr="006416ED">
        <w:rPr>
          <w:rFonts w:ascii="Poppins" w:eastAsia="Calibri" w:hAnsi="Poppins" w:cs="Poppins"/>
          <w:color w:val="000000" w:themeColor="text1"/>
          <w:sz w:val="24"/>
          <w:szCs w:val="24"/>
          <w:lang w:val="en-US"/>
        </w:rPr>
        <w:t xml:space="preserve">Web Content Accessibility Guidelines 2.1 (WCAG 2.1). </w:t>
      </w:r>
      <w:r w:rsidRPr="00D1021A">
        <w:rPr>
          <w:rFonts w:ascii="Poppins" w:eastAsia="Calibri" w:hAnsi="Poppins" w:cs="Poppins"/>
          <w:color w:val="000000" w:themeColor="text1"/>
          <w:sz w:val="24"/>
          <w:szCs w:val="24"/>
        </w:rPr>
        <w:t xml:space="preserve">Online verfügbar unter: </w:t>
      </w:r>
      <w:hyperlink r:id="rId23" w:history="1">
        <w:r w:rsidRPr="00D1021A">
          <w:rPr>
            <w:rStyle w:val="Hyperlink"/>
            <w:rFonts w:ascii="Poppins" w:eastAsia="Calibri" w:hAnsi="Poppins" w:cs="Poppins"/>
            <w:sz w:val="24"/>
            <w:szCs w:val="24"/>
          </w:rPr>
          <w:t>https://www.barrierefreiheit-dienstekonsolidierung.bund.de/Webs/PB/DE/gesetze-und-richtlinien/wcag/wcag-artikel.html</w:t>
        </w:r>
      </w:hyperlink>
      <w:r w:rsidRPr="00D1021A">
        <w:rPr>
          <w:rFonts w:ascii="Poppins" w:eastAsia="Calibri" w:hAnsi="Poppins" w:cs="Poppins"/>
          <w:color w:val="000000" w:themeColor="text1"/>
          <w:sz w:val="24"/>
          <w:szCs w:val="24"/>
        </w:rPr>
        <w:t xml:space="preserve"> [1</w:t>
      </w:r>
      <w:r w:rsidR="00790313">
        <w:rPr>
          <w:rFonts w:ascii="Poppins" w:eastAsia="Calibri" w:hAnsi="Poppins" w:cs="Poppins"/>
          <w:color w:val="000000" w:themeColor="text1"/>
          <w:sz w:val="24"/>
          <w:szCs w:val="24"/>
        </w:rPr>
        <w:t>2</w:t>
      </w:r>
      <w:r w:rsidRPr="00D1021A">
        <w:rPr>
          <w:rFonts w:ascii="Poppins" w:eastAsia="Calibri" w:hAnsi="Poppins" w:cs="Poppins"/>
          <w:color w:val="000000" w:themeColor="text1"/>
          <w:sz w:val="24"/>
          <w:szCs w:val="24"/>
        </w:rPr>
        <w:t>.09.2024].</w:t>
      </w:r>
    </w:p>
    <w:p w14:paraId="0A181040" w14:textId="211B3C59" w:rsidR="0040385C" w:rsidRPr="00D1021A" w:rsidRDefault="00046E90" w:rsidP="009B614E">
      <w:pPr>
        <w:spacing w:before="240" w:line="360" w:lineRule="auto"/>
        <w:rPr>
          <w:rFonts w:ascii="Poppins" w:eastAsia="Calibri" w:hAnsi="Poppins" w:cs="Poppins"/>
          <w:color w:val="000000" w:themeColor="text1"/>
          <w:sz w:val="24"/>
          <w:szCs w:val="24"/>
        </w:rPr>
      </w:pPr>
      <w:r w:rsidRPr="00D1021A">
        <w:rPr>
          <w:rFonts w:ascii="Poppins" w:eastAsia="Calibri" w:hAnsi="Poppins" w:cs="Poppins"/>
          <w:b/>
          <w:bCs/>
          <w:color w:val="000000" w:themeColor="text1"/>
          <w:sz w:val="24"/>
          <w:szCs w:val="24"/>
        </w:rPr>
        <w:lastRenderedPageBreak/>
        <w:t>Deutsche Gesellschaft für Qualität (DGQ) (2015)</w:t>
      </w:r>
      <w:r w:rsidR="00742261" w:rsidRPr="00D1021A">
        <w:rPr>
          <w:rFonts w:ascii="Poppins" w:eastAsia="Calibri" w:hAnsi="Poppins" w:cs="Poppins"/>
          <w:color w:val="000000" w:themeColor="text1"/>
          <w:sz w:val="24"/>
          <w:szCs w:val="24"/>
        </w:rPr>
        <w:t>.</w:t>
      </w:r>
      <w:r w:rsidRPr="00D1021A">
        <w:rPr>
          <w:rFonts w:ascii="Poppins" w:eastAsia="Calibri" w:hAnsi="Poppins" w:cs="Poppins"/>
          <w:color w:val="000000" w:themeColor="text1"/>
          <w:sz w:val="24"/>
          <w:szCs w:val="24"/>
        </w:rPr>
        <w:t xml:space="preserve"> Qualitätsmanagement für Hochschulen – das Praxishandbuch. München: Carl Hanser Verlag München.</w:t>
      </w:r>
    </w:p>
    <w:p w14:paraId="037097B6" w14:textId="5EABB5E0" w:rsidR="007B57CC" w:rsidRPr="00D1021A" w:rsidRDefault="007B57CC" w:rsidP="009B614E">
      <w:pPr>
        <w:spacing w:before="240" w:line="360" w:lineRule="auto"/>
        <w:rPr>
          <w:rFonts w:ascii="Poppins" w:eastAsia="Calibri" w:hAnsi="Poppins" w:cs="Poppins"/>
          <w:color w:val="000000" w:themeColor="text1"/>
          <w:sz w:val="24"/>
          <w:szCs w:val="24"/>
        </w:rPr>
      </w:pPr>
      <w:r w:rsidRPr="00D1021A">
        <w:rPr>
          <w:rFonts w:ascii="Poppins" w:eastAsia="Calibri" w:hAnsi="Poppins" w:cs="Poppins"/>
          <w:b/>
          <w:bCs/>
          <w:color w:val="000000" w:themeColor="text1"/>
          <w:sz w:val="24"/>
          <w:szCs w:val="24"/>
        </w:rPr>
        <w:t>Digel, S., Biel, C., &amp; Kilian, L. (2022).</w:t>
      </w:r>
      <w:r w:rsidRPr="00D1021A">
        <w:rPr>
          <w:rFonts w:ascii="Poppins" w:eastAsia="Calibri" w:hAnsi="Poppins" w:cs="Poppins"/>
          <w:color w:val="000000" w:themeColor="text1"/>
          <w:sz w:val="24"/>
          <w:szCs w:val="24"/>
        </w:rPr>
        <w:t xml:space="preserve"> OER und </w:t>
      </w:r>
      <w:proofErr w:type="spellStart"/>
      <w:r w:rsidRPr="00D1021A">
        <w:rPr>
          <w:rFonts w:ascii="Poppins" w:eastAsia="Calibri" w:hAnsi="Poppins" w:cs="Poppins"/>
          <w:color w:val="000000" w:themeColor="text1"/>
          <w:sz w:val="24"/>
          <w:szCs w:val="24"/>
        </w:rPr>
        <w:t>Openness</w:t>
      </w:r>
      <w:proofErr w:type="spellEnd"/>
      <w:r w:rsidRPr="00D1021A">
        <w:rPr>
          <w:rFonts w:ascii="Poppins" w:eastAsia="Calibri" w:hAnsi="Poppins" w:cs="Poppins"/>
          <w:color w:val="000000" w:themeColor="text1"/>
          <w:sz w:val="24"/>
          <w:szCs w:val="24"/>
        </w:rPr>
        <w:t xml:space="preserve">: (K) ein Thema für Bildungsorganisationen? </w:t>
      </w:r>
      <w:proofErr w:type="gramStart"/>
      <w:r w:rsidRPr="00D1021A">
        <w:rPr>
          <w:rFonts w:ascii="Poppins" w:eastAsia="Calibri" w:hAnsi="Poppins" w:cs="Poppins"/>
          <w:color w:val="000000" w:themeColor="text1"/>
          <w:sz w:val="24"/>
          <w:szCs w:val="24"/>
        </w:rPr>
        <w:t>weiter bilden</w:t>
      </w:r>
      <w:proofErr w:type="gramEnd"/>
      <w:r w:rsidRPr="00D1021A">
        <w:rPr>
          <w:rFonts w:ascii="Poppins" w:eastAsia="Calibri" w:hAnsi="Poppins" w:cs="Poppins"/>
          <w:color w:val="000000" w:themeColor="text1"/>
          <w:sz w:val="24"/>
          <w:szCs w:val="24"/>
        </w:rPr>
        <w:t>. DIE Zeitschrift für Erwachsenenbildung, 29(1), 26-29.</w:t>
      </w:r>
    </w:p>
    <w:p w14:paraId="3B47B966" w14:textId="5BF1F830" w:rsidR="00BC1B60" w:rsidRPr="00D1021A" w:rsidRDefault="00BC1B60" w:rsidP="009B614E">
      <w:pPr>
        <w:spacing w:before="240" w:line="360" w:lineRule="auto"/>
        <w:rPr>
          <w:rFonts w:ascii="Poppins" w:eastAsia="Calibri" w:hAnsi="Poppins" w:cs="Poppins"/>
          <w:color w:val="000000" w:themeColor="text1"/>
          <w:sz w:val="24"/>
          <w:szCs w:val="24"/>
        </w:rPr>
      </w:pPr>
      <w:r w:rsidRPr="00D1021A">
        <w:rPr>
          <w:rFonts w:ascii="Poppins" w:eastAsia="Calibri" w:hAnsi="Poppins" w:cs="Poppins"/>
          <w:b/>
          <w:bCs/>
          <w:color w:val="000000" w:themeColor="text1"/>
          <w:sz w:val="24"/>
          <w:szCs w:val="24"/>
        </w:rPr>
        <w:t>DIN EN ISO 9000. (2015).</w:t>
      </w:r>
      <w:r w:rsidRPr="00D1021A">
        <w:rPr>
          <w:rFonts w:ascii="Poppins" w:eastAsia="Calibri" w:hAnsi="Poppins" w:cs="Poppins"/>
          <w:color w:val="000000" w:themeColor="text1"/>
          <w:sz w:val="24"/>
          <w:szCs w:val="24"/>
        </w:rPr>
        <w:t xml:space="preserve"> Qualitätsmanagementsysteme – Grundlagen und Begriffe</w:t>
      </w:r>
      <w:r w:rsidR="00550E7B" w:rsidRPr="00D1021A">
        <w:rPr>
          <w:rFonts w:ascii="Poppins" w:eastAsia="Calibri" w:hAnsi="Poppins" w:cs="Poppins"/>
          <w:color w:val="000000" w:themeColor="text1"/>
          <w:sz w:val="24"/>
          <w:szCs w:val="24"/>
        </w:rPr>
        <w:t xml:space="preserve"> </w:t>
      </w:r>
      <w:r w:rsidRPr="00D1021A">
        <w:rPr>
          <w:rFonts w:ascii="Poppins" w:eastAsia="Calibri" w:hAnsi="Poppins" w:cs="Poppins"/>
          <w:color w:val="000000" w:themeColor="text1"/>
          <w:sz w:val="24"/>
          <w:szCs w:val="24"/>
        </w:rPr>
        <w:t xml:space="preserve">(ISO 9000:2015); Deutsche und </w:t>
      </w:r>
      <w:proofErr w:type="gramStart"/>
      <w:r w:rsidRPr="00D1021A">
        <w:rPr>
          <w:rFonts w:ascii="Poppins" w:eastAsia="Calibri" w:hAnsi="Poppins" w:cs="Poppins"/>
          <w:color w:val="000000" w:themeColor="text1"/>
          <w:sz w:val="24"/>
          <w:szCs w:val="24"/>
        </w:rPr>
        <w:t>Englische</w:t>
      </w:r>
      <w:proofErr w:type="gramEnd"/>
      <w:r w:rsidRPr="00D1021A">
        <w:rPr>
          <w:rFonts w:ascii="Poppins" w:eastAsia="Calibri" w:hAnsi="Poppins" w:cs="Poppins"/>
          <w:color w:val="000000" w:themeColor="text1"/>
          <w:sz w:val="24"/>
          <w:szCs w:val="24"/>
        </w:rPr>
        <w:t xml:space="preserve"> Fassung EN ISO 9000:2015. Berlin: DIN</w:t>
      </w:r>
      <w:r w:rsidR="00CB2C7B" w:rsidRPr="00D1021A">
        <w:rPr>
          <w:rFonts w:ascii="Poppins" w:eastAsia="Calibri" w:hAnsi="Poppins" w:cs="Poppins"/>
          <w:color w:val="000000" w:themeColor="text1"/>
          <w:sz w:val="24"/>
          <w:szCs w:val="24"/>
        </w:rPr>
        <w:t xml:space="preserve"> </w:t>
      </w:r>
      <w:r w:rsidRPr="00D1021A">
        <w:rPr>
          <w:rFonts w:ascii="Poppins" w:eastAsia="Calibri" w:hAnsi="Poppins" w:cs="Poppins"/>
          <w:color w:val="000000" w:themeColor="text1"/>
          <w:sz w:val="24"/>
          <w:szCs w:val="24"/>
        </w:rPr>
        <w:t>Deutsches Institut für Normung e. V.</w:t>
      </w:r>
    </w:p>
    <w:p w14:paraId="58340F09" w14:textId="0A61A897" w:rsidR="0040385C" w:rsidRPr="00D1021A" w:rsidRDefault="00046E90" w:rsidP="009B614E">
      <w:pPr>
        <w:spacing w:before="240" w:line="360" w:lineRule="auto"/>
        <w:rPr>
          <w:rFonts w:ascii="Poppins" w:eastAsia="Calibri" w:hAnsi="Poppins" w:cs="Poppins"/>
          <w:color w:val="000000" w:themeColor="text1"/>
          <w:sz w:val="24"/>
          <w:szCs w:val="24"/>
        </w:rPr>
      </w:pPr>
      <w:r w:rsidRPr="00D1021A">
        <w:rPr>
          <w:rFonts w:ascii="Poppins" w:eastAsia="Calibri" w:hAnsi="Poppins" w:cs="Poppins"/>
          <w:b/>
          <w:bCs/>
          <w:color w:val="000000" w:themeColor="text1"/>
          <w:sz w:val="24"/>
          <w:szCs w:val="24"/>
        </w:rPr>
        <w:t>Donabedian, A. (1966)</w:t>
      </w:r>
      <w:r w:rsidR="00F7067B" w:rsidRPr="00D1021A">
        <w:rPr>
          <w:rFonts w:ascii="Poppins" w:eastAsia="Calibri" w:hAnsi="Poppins" w:cs="Poppins"/>
          <w:b/>
          <w:bCs/>
          <w:color w:val="000000" w:themeColor="text1"/>
          <w:sz w:val="24"/>
          <w:szCs w:val="24"/>
        </w:rPr>
        <w:t xml:space="preserve">. </w:t>
      </w:r>
      <w:r w:rsidR="00F7067B" w:rsidRPr="006416ED">
        <w:rPr>
          <w:rFonts w:ascii="Poppins" w:eastAsia="Calibri" w:hAnsi="Poppins" w:cs="Poppins"/>
          <w:color w:val="000000" w:themeColor="text1"/>
          <w:sz w:val="24"/>
          <w:szCs w:val="24"/>
          <w:lang w:val="en-US"/>
        </w:rPr>
        <w:t>Evaluating the quality of medical care. The Milbank memorial fund quarterly, 44(3), 166-206</w:t>
      </w:r>
      <w:r w:rsidRPr="006416ED">
        <w:rPr>
          <w:rFonts w:ascii="Poppins" w:eastAsia="Calibri" w:hAnsi="Poppins" w:cs="Poppins"/>
          <w:color w:val="000000" w:themeColor="text1"/>
          <w:sz w:val="24"/>
          <w:szCs w:val="24"/>
          <w:lang w:val="en-US"/>
        </w:rPr>
        <w:t xml:space="preserve">. </w:t>
      </w:r>
      <w:r w:rsidR="00CB2C7B" w:rsidRPr="00D1021A">
        <w:rPr>
          <w:rFonts w:ascii="Poppins" w:eastAsia="Calibri" w:hAnsi="Poppins" w:cs="Poppins"/>
          <w:color w:val="000000" w:themeColor="text1"/>
          <w:sz w:val="24"/>
          <w:szCs w:val="24"/>
        </w:rPr>
        <w:t xml:space="preserve">Online verfügbar unter: </w:t>
      </w:r>
      <w:hyperlink r:id="rId24" w:history="1">
        <w:r w:rsidR="00CB2C7B" w:rsidRPr="00D1021A">
          <w:rPr>
            <w:rStyle w:val="Hyperlink"/>
            <w:rFonts w:ascii="Poppins" w:eastAsia="Calibri" w:hAnsi="Poppins" w:cs="Poppins"/>
            <w:sz w:val="24"/>
            <w:szCs w:val="24"/>
          </w:rPr>
          <w:t>https://www.jstor.org/stable/pdf/3348969.pdf?casa_token=NLxfhG5hV-0AAAAA:o-af08NwQX5Nmgm5JK20i8ZwYol37jIRBZAs0g5dy_NoBwHY2Fjwuukb1Ecs4uKnU2AwJ9t6jC0oXbdAdi5atsCAyhTW0g4qhy0kE3YOUTr2jLHqfSFc</w:t>
        </w:r>
      </w:hyperlink>
      <w:r w:rsidR="00CB2C7B" w:rsidRPr="00D1021A">
        <w:rPr>
          <w:rFonts w:ascii="Poppins" w:eastAsia="Calibri" w:hAnsi="Poppins" w:cs="Poppins"/>
          <w:color w:val="000000" w:themeColor="text1"/>
          <w:sz w:val="24"/>
          <w:szCs w:val="24"/>
        </w:rPr>
        <w:t xml:space="preserve"> [</w:t>
      </w:r>
      <w:r w:rsidR="00790313">
        <w:rPr>
          <w:rFonts w:ascii="Poppins" w:eastAsia="Calibri" w:hAnsi="Poppins" w:cs="Poppins"/>
          <w:color w:val="000000" w:themeColor="text1"/>
          <w:sz w:val="24"/>
          <w:szCs w:val="24"/>
        </w:rPr>
        <w:t>12</w:t>
      </w:r>
      <w:r w:rsidR="00CB2C7B" w:rsidRPr="00D1021A">
        <w:rPr>
          <w:rFonts w:ascii="Poppins" w:eastAsia="Calibri" w:hAnsi="Poppins" w:cs="Poppins"/>
          <w:color w:val="000000" w:themeColor="text1"/>
          <w:sz w:val="24"/>
          <w:szCs w:val="24"/>
        </w:rPr>
        <w:t>.09.2024].</w:t>
      </w:r>
    </w:p>
    <w:p w14:paraId="6031B76A" w14:textId="6770D15D" w:rsidR="0040385C" w:rsidRPr="00D1021A" w:rsidRDefault="00046E90" w:rsidP="009B614E">
      <w:pPr>
        <w:spacing w:before="240" w:line="360" w:lineRule="auto"/>
        <w:rPr>
          <w:rFonts w:ascii="Poppins" w:hAnsi="Poppins" w:cs="Poppins"/>
          <w:sz w:val="24"/>
          <w:szCs w:val="24"/>
        </w:rPr>
      </w:pPr>
      <w:r w:rsidRPr="006416ED">
        <w:rPr>
          <w:rFonts w:ascii="Poppins" w:eastAsia="Calibri" w:hAnsi="Poppins" w:cs="Poppins"/>
          <w:b/>
          <w:bCs/>
          <w:color w:val="000000" w:themeColor="text1"/>
          <w:sz w:val="24"/>
          <w:szCs w:val="24"/>
          <w:lang w:val="en-US"/>
        </w:rPr>
        <w:t>ENCORE+ (2022):</w:t>
      </w:r>
      <w:r w:rsidRPr="006416ED">
        <w:rPr>
          <w:rFonts w:ascii="Poppins" w:eastAsia="Calibri" w:hAnsi="Poppins" w:cs="Poppins"/>
          <w:color w:val="000000" w:themeColor="text1"/>
          <w:sz w:val="24"/>
          <w:szCs w:val="24"/>
          <w:lang w:val="en-US"/>
        </w:rPr>
        <w:t xml:space="preserve"> Open Educational Resources and Repositories: </w:t>
      </w:r>
      <w:proofErr w:type="gramStart"/>
      <w:r w:rsidRPr="006416ED">
        <w:rPr>
          <w:rFonts w:ascii="Poppins" w:eastAsia="Calibri" w:hAnsi="Poppins" w:cs="Poppins"/>
          <w:color w:val="000000" w:themeColor="text1"/>
          <w:sz w:val="24"/>
          <w:szCs w:val="24"/>
          <w:lang w:val="en-US"/>
        </w:rPr>
        <w:t>the</w:t>
      </w:r>
      <w:proofErr w:type="gramEnd"/>
      <w:r w:rsidRPr="006416ED">
        <w:rPr>
          <w:rFonts w:ascii="Poppins" w:eastAsia="Calibri" w:hAnsi="Poppins" w:cs="Poppins"/>
          <w:color w:val="000000" w:themeColor="text1"/>
          <w:sz w:val="24"/>
          <w:szCs w:val="24"/>
          <w:lang w:val="en-US"/>
        </w:rPr>
        <w:t xml:space="preserve"> Role of Quality. Thematic Peer Group Workshops as a method for building a community-oriented quality framework</w:t>
      </w:r>
      <w:r w:rsidRPr="006416ED">
        <w:rPr>
          <w:rFonts w:ascii="Poppins" w:hAnsi="Poppins" w:cs="Poppins"/>
          <w:sz w:val="24"/>
          <w:szCs w:val="24"/>
          <w:lang w:val="en-US"/>
        </w:rPr>
        <w:t xml:space="preserve">. </w:t>
      </w:r>
      <w:r w:rsidRPr="00D1021A">
        <w:rPr>
          <w:rFonts w:ascii="Poppins" w:hAnsi="Poppins" w:cs="Poppins"/>
          <w:sz w:val="24"/>
          <w:szCs w:val="24"/>
        </w:rPr>
        <w:t xml:space="preserve">Online verfügbar unter: </w:t>
      </w:r>
      <w:hyperlink r:id="rId25" w:history="1">
        <w:r w:rsidR="00790313">
          <w:rPr>
            <w:rStyle w:val="Hyperlink"/>
            <w:rFonts w:ascii="Poppins" w:hAnsi="Poppins" w:cs="Poppins"/>
            <w:sz w:val="24"/>
            <w:szCs w:val="24"/>
          </w:rPr>
          <w:t>https://encoreproject.eu/wp-content/uploads/2022/04/ENCORE-Position-paper-2-Quality.pdf</w:t>
        </w:r>
      </w:hyperlink>
      <w:r w:rsidR="00DC4453" w:rsidRPr="00D1021A">
        <w:rPr>
          <w:rStyle w:val="Hyperlink"/>
          <w:rFonts w:ascii="Poppins" w:hAnsi="Poppins" w:cs="Poppins"/>
          <w:sz w:val="24"/>
          <w:szCs w:val="24"/>
          <w:u w:val="none"/>
        </w:rPr>
        <w:t xml:space="preserve"> </w:t>
      </w:r>
      <w:r w:rsidR="00CB2C7B" w:rsidRPr="00D1021A">
        <w:rPr>
          <w:rFonts w:ascii="Poppins" w:hAnsi="Poppins" w:cs="Poppins"/>
        </w:rPr>
        <w:t>[</w:t>
      </w:r>
      <w:r w:rsidR="00790313">
        <w:rPr>
          <w:rFonts w:ascii="Poppins" w:hAnsi="Poppins" w:cs="Poppins"/>
        </w:rPr>
        <w:t>12</w:t>
      </w:r>
      <w:r w:rsidR="00CB2C7B" w:rsidRPr="00D1021A">
        <w:rPr>
          <w:rFonts w:ascii="Poppins" w:hAnsi="Poppins" w:cs="Poppins"/>
        </w:rPr>
        <w:t>.09.2024].</w:t>
      </w:r>
    </w:p>
    <w:p w14:paraId="6E5653F8" w14:textId="020D9D62" w:rsidR="0040385C" w:rsidRPr="00D1021A" w:rsidRDefault="00046E90" w:rsidP="009B614E">
      <w:pPr>
        <w:spacing w:before="240" w:line="360" w:lineRule="auto"/>
        <w:rPr>
          <w:rFonts w:ascii="Poppins" w:hAnsi="Poppins" w:cs="Poppins"/>
          <w:sz w:val="24"/>
          <w:szCs w:val="24"/>
        </w:rPr>
      </w:pPr>
      <w:r w:rsidRPr="006416ED">
        <w:rPr>
          <w:rFonts w:ascii="Poppins" w:hAnsi="Poppins" w:cs="Poppins"/>
          <w:b/>
          <w:bCs/>
          <w:sz w:val="24"/>
          <w:szCs w:val="24"/>
          <w:lang w:val="en-US"/>
        </w:rPr>
        <w:t>ENCORE+ (2023a):</w:t>
      </w:r>
      <w:r w:rsidRPr="006416ED">
        <w:rPr>
          <w:rFonts w:ascii="Poppins" w:hAnsi="Poppins" w:cs="Poppins"/>
          <w:sz w:val="24"/>
          <w:szCs w:val="24"/>
          <w:lang w:val="en-US"/>
        </w:rPr>
        <w:t xml:space="preserve"> Quality for the Future OER Ecosystem (WP5). State of the Art Report: Quality in European OER Ecosystems</w:t>
      </w:r>
      <w:r w:rsidR="00F3327E" w:rsidRPr="006416ED">
        <w:rPr>
          <w:rFonts w:ascii="Poppins" w:hAnsi="Poppins" w:cs="Poppins"/>
          <w:sz w:val="24"/>
          <w:szCs w:val="24"/>
          <w:lang w:val="en-US"/>
        </w:rPr>
        <w:t xml:space="preserve">. </w:t>
      </w:r>
      <w:r w:rsidR="00F3327E" w:rsidRPr="00D1021A">
        <w:rPr>
          <w:rFonts w:ascii="Poppins" w:eastAsia="Calibri" w:hAnsi="Poppins" w:cs="Poppins"/>
          <w:color w:val="000000" w:themeColor="text1"/>
          <w:sz w:val="24"/>
          <w:szCs w:val="24"/>
        </w:rPr>
        <w:t xml:space="preserve">Online verfügbar </w:t>
      </w:r>
      <w:r w:rsidR="00F3327E" w:rsidRPr="00D1021A">
        <w:rPr>
          <w:rFonts w:ascii="Poppins" w:eastAsia="Calibri" w:hAnsi="Poppins" w:cs="Poppins"/>
          <w:color w:val="000000" w:themeColor="text1"/>
          <w:sz w:val="24"/>
          <w:szCs w:val="24"/>
        </w:rPr>
        <w:lastRenderedPageBreak/>
        <w:t>unter</w:t>
      </w:r>
      <w:r w:rsidRPr="00D1021A">
        <w:rPr>
          <w:rFonts w:ascii="Poppins" w:hAnsi="Poppins" w:cs="Poppins"/>
          <w:sz w:val="24"/>
          <w:szCs w:val="24"/>
        </w:rPr>
        <w:t xml:space="preserve">: </w:t>
      </w:r>
      <w:hyperlink r:id="rId26" w:history="1">
        <w:r w:rsidR="00CB2C7B" w:rsidRPr="00D1021A">
          <w:rPr>
            <w:rStyle w:val="Hyperlink"/>
            <w:rFonts w:ascii="Poppins" w:hAnsi="Poppins" w:cs="Poppins"/>
            <w:sz w:val="24"/>
            <w:szCs w:val="24"/>
          </w:rPr>
          <w:t>https://encoreproject.eu/wp-content/uploads/2024/02/D5.1-State-of-the-Art-Report_-Quality-in-European-OER-Ecosystems.pdf</w:t>
        </w:r>
      </w:hyperlink>
      <w:r w:rsidR="00CB2C7B" w:rsidRPr="00D1021A">
        <w:rPr>
          <w:rFonts w:ascii="Poppins" w:hAnsi="Poppins" w:cs="Poppins"/>
          <w:sz w:val="24"/>
          <w:szCs w:val="24"/>
        </w:rPr>
        <w:t xml:space="preserve"> [</w:t>
      </w:r>
      <w:r w:rsidR="00790313">
        <w:rPr>
          <w:rFonts w:ascii="Poppins" w:hAnsi="Poppins" w:cs="Poppins"/>
          <w:sz w:val="24"/>
          <w:szCs w:val="24"/>
        </w:rPr>
        <w:t>12</w:t>
      </w:r>
      <w:r w:rsidR="00CB2C7B" w:rsidRPr="00D1021A">
        <w:rPr>
          <w:rFonts w:ascii="Poppins" w:hAnsi="Poppins" w:cs="Poppins"/>
          <w:sz w:val="24"/>
          <w:szCs w:val="24"/>
        </w:rPr>
        <w:t>.09.2024].</w:t>
      </w:r>
    </w:p>
    <w:p w14:paraId="00E0319B" w14:textId="31A7B8FF" w:rsidR="0040385C" w:rsidRPr="00D1021A" w:rsidRDefault="00046E90" w:rsidP="009B614E">
      <w:pPr>
        <w:spacing w:before="240" w:line="360" w:lineRule="auto"/>
        <w:rPr>
          <w:rFonts w:ascii="Poppins" w:hAnsi="Poppins" w:cs="Poppins"/>
          <w:sz w:val="24"/>
          <w:szCs w:val="24"/>
        </w:rPr>
      </w:pPr>
      <w:r w:rsidRPr="006416ED">
        <w:rPr>
          <w:rFonts w:ascii="Poppins" w:hAnsi="Poppins" w:cs="Poppins"/>
          <w:b/>
          <w:bCs/>
          <w:sz w:val="24"/>
          <w:szCs w:val="24"/>
          <w:lang w:val="en-US"/>
        </w:rPr>
        <w:t>ENCORE+ (2023b)</w:t>
      </w:r>
      <w:r w:rsidRPr="006416ED">
        <w:rPr>
          <w:rFonts w:ascii="Poppins" w:hAnsi="Poppins" w:cs="Poppins"/>
          <w:sz w:val="24"/>
          <w:szCs w:val="24"/>
          <w:lang w:val="en-US"/>
        </w:rPr>
        <w:t xml:space="preserve">: Piloting the </w:t>
      </w:r>
      <w:proofErr w:type="spellStart"/>
      <w:r w:rsidRPr="006416ED">
        <w:rPr>
          <w:rFonts w:ascii="Poppins" w:hAnsi="Poppins" w:cs="Poppins"/>
          <w:sz w:val="24"/>
          <w:szCs w:val="24"/>
          <w:lang w:val="en-US"/>
        </w:rPr>
        <w:t>ENCORE+Quality</w:t>
      </w:r>
      <w:proofErr w:type="spellEnd"/>
      <w:r w:rsidRPr="006416ED">
        <w:rPr>
          <w:rFonts w:ascii="Poppins" w:hAnsi="Poppins" w:cs="Poppins"/>
          <w:sz w:val="24"/>
          <w:szCs w:val="24"/>
          <w:lang w:val="en-US"/>
        </w:rPr>
        <w:t xml:space="preserve"> Framework. </w:t>
      </w:r>
      <w:r w:rsidRPr="00D1021A">
        <w:rPr>
          <w:rFonts w:ascii="Poppins" w:hAnsi="Poppins" w:cs="Poppins"/>
          <w:sz w:val="24"/>
          <w:szCs w:val="24"/>
        </w:rPr>
        <w:t xml:space="preserve">Online verfügbar unter: </w:t>
      </w:r>
      <w:hyperlink r:id="rId27" w:history="1">
        <w:r w:rsidR="00CB2C7B" w:rsidRPr="00D1021A">
          <w:rPr>
            <w:rStyle w:val="Hyperlink"/>
            <w:rFonts w:ascii="Poppins" w:hAnsi="Poppins" w:cs="Poppins"/>
            <w:sz w:val="24"/>
            <w:szCs w:val="24"/>
          </w:rPr>
          <w:t>https://encoreproject.eu/wp-content/uploads/2023/12/2023-12-1_ENCORE_D-5-3_Evaluation-of-QTF-final5016.pdf</w:t>
        </w:r>
      </w:hyperlink>
      <w:r w:rsidR="00CB2C7B" w:rsidRPr="00D1021A">
        <w:rPr>
          <w:rFonts w:ascii="Poppins" w:hAnsi="Poppins" w:cs="Poppins"/>
          <w:sz w:val="24"/>
          <w:szCs w:val="24"/>
        </w:rPr>
        <w:t xml:space="preserve"> [</w:t>
      </w:r>
      <w:r w:rsidR="00790313">
        <w:rPr>
          <w:rFonts w:ascii="Poppins" w:hAnsi="Poppins" w:cs="Poppins"/>
          <w:sz w:val="24"/>
          <w:szCs w:val="24"/>
        </w:rPr>
        <w:t>12</w:t>
      </w:r>
      <w:r w:rsidR="00CB2C7B" w:rsidRPr="00D1021A">
        <w:rPr>
          <w:rFonts w:ascii="Poppins" w:hAnsi="Poppins" w:cs="Poppins"/>
          <w:sz w:val="24"/>
          <w:szCs w:val="24"/>
        </w:rPr>
        <w:t>.09.2024].</w:t>
      </w:r>
    </w:p>
    <w:p w14:paraId="5CFC2588" w14:textId="657CCD38" w:rsidR="001A0190" w:rsidRPr="00D1021A" w:rsidRDefault="001A0190" w:rsidP="009B614E">
      <w:pPr>
        <w:spacing w:before="240" w:line="360" w:lineRule="auto"/>
        <w:rPr>
          <w:rFonts w:ascii="Poppins" w:hAnsi="Poppins" w:cs="Poppins"/>
          <w:sz w:val="24"/>
          <w:szCs w:val="24"/>
        </w:rPr>
      </w:pPr>
      <w:r w:rsidRPr="00D1021A">
        <w:rPr>
          <w:rFonts w:ascii="Poppins" w:hAnsi="Poppins" w:cs="Poppins"/>
          <w:b/>
          <w:bCs/>
          <w:sz w:val="24"/>
          <w:szCs w:val="24"/>
        </w:rPr>
        <w:t>Erichsen, J. (2024).</w:t>
      </w:r>
      <w:r w:rsidRPr="00D1021A">
        <w:rPr>
          <w:rFonts w:ascii="Poppins" w:hAnsi="Poppins" w:cs="Poppins"/>
          <w:sz w:val="24"/>
          <w:szCs w:val="24"/>
        </w:rPr>
        <w:t xml:space="preserve"> Die Digitalisierung als Kontinuitätserzählung. Wilhelm von Humboldt, Bildung und die Legitimation der Digitalisierung. In: Pieper &amp; Neuhaus (2024). Bildung und Digitalität. Wiesbaden: Springer Fachmedien (S. 25-42).</w:t>
      </w:r>
    </w:p>
    <w:p w14:paraId="33DBB8FD" w14:textId="6E82F1E2" w:rsidR="0040385C" w:rsidRPr="00D1021A" w:rsidRDefault="00046E90" w:rsidP="009B614E">
      <w:pPr>
        <w:spacing w:before="240" w:line="360" w:lineRule="auto"/>
        <w:ind w:left="-20" w:right="-20"/>
        <w:rPr>
          <w:rFonts w:ascii="Poppins" w:eastAsia="Calibri" w:hAnsi="Poppins" w:cs="Poppins"/>
          <w:color w:val="000000" w:themeColor="text1"/>
          <w:sz w:val="24"/>
          <w:szCs w:val="24"/>
        </w:rPr>
      </w:pPr>
      <w:r w:rsidRPr="00D1021A">
        <w:rPr>
          <w:rFonts w:ascii="Poppins" w:eastAsia="Calibri" w:hAnsi="Poppins" w:cs="Poppins"/>
          <w:b/>
          <w:bCs/>
          <w:color w:val="000000" w:themeColor="text1"/>
          <w:sz w:val="24"/>
          <w:szCs w:val="24"/>
        </w:rPr>
        <w:t>Frost, B. (2017).</w:t>
      </w:r>
      <w:r w:rsidRPr="00D1021A">
        <w:rPr>
          <w:rFonts w:ascii="Poppins" w:eastAsia="Calibri" w:hAnsi="Poppins" w:cs="Poppins"/>
          <w:color w:val="000000" w:themeColor="text1"/>
          <w:sz w:val="24"/>
          <w:szCs w:val="24"/>
        </w:rPr>
        <w:t xml:space="preserve"> Für eine Kultur des Teilens: Mit OER gemeinsam guten Unterricht machen. </w:t>
      </w:r>
      <w:r w:rsidR="007345CE" w:rsidRPr="00D1021A">
        <w:rPr>
          <w:rFonts w:ascii="Poppins" w:eastAsia="Calibri" w:hAnsi="Poppins" w:cs="Poppins"/>
          <w:color w:val="000000" w:themeColor="text1"/>
          <w:sz w:val="24"/>
          <w:szCs w:val="24"/>
        </w:rPr>
        <w:t xml:space="preserve">Bundeszentrale für politische Bildung (bpb). </w:t>
      </w:r>
      <w:r w:rsidRPr="00D1021A">
        <w:rPr>
          <w:rFonts w:ascii="Poppins" w:eastAsia="Calibri" w:hAnsi="Poppins" w:cs="Poppins"/>
          <w:color w:val="000000" w:themeColor="text1"/>
          <w:sz w:val="24"/>
          <w:szCs w:val="24"/>
        </w:rPr>
        <w:t xml:space="preserve">Online verfügbar unter: </w:t>
      </w:r>
      <w:hyperlink r:id="rId28" w:history="1">
        <w:r w:rsidR="002502DC" w:rsidRPr="00D1021A">
          <w:rPr>
            <w:rStyle w:val="Hyperlink"/>
            <w:rFonts w:ascii="Poppins" w:eastAsia="Calibri" w:hAnsi="Poppins" w:cs="Poppins"/>
            <w:sz w:val="24"/>
            <w:szCs w:val="24"/>
          </w:rPr>
          <w:t>https://www.bpb.de/lernen/digitale-bildung/werkstatt/256243/fuer-eine-kultur-des-teilens-mit-oer-gemeinsam-guten-unterricht-machen/</w:t>
        </w:r>
      </w:hyperlink>
      <w:r w:rsidR="002502DC" w:rsidRPr="00D1021A">
        <w:rPr>
          <w:rFonts w:ascii="Poppins" w:eastAsia="Calibri" w:hAnsi="Poppins" w:cs="Poppins"/>
          <w:color w:val="000000" w:themeColor="text1"/>
          <w:sz w:val="24"/>
          <w:szCs w:val="24"/>
        </w:rPr>
        <w:t xml:space="preserve"> [</w:t>
      </w:r>
      <w:r w:rsidR="00790313">
        <w:rPr>
          <w:rFonts w:ascii="Poppins" w:eastAsia="Calibri" w:hAnsi="Poppins" w:cs="Poppins"/>
          <w:color w:val="000000" w:themeColor="text1"/>
          <w:sz w:val="24"/>
          <w:szCs w:val="24"/>
        </w:rPr>
        <w:t>12</w:t>
      </w:r>
      <w:r w:rsidR="002502DC" w:rsidRPr="00D1021A">
        <w:rPr>
          <w:rFonts w:ascii="Poppins" w:eastAsia="Calibri" w:hAnsi="Poppins" w:cs="Poppins"/>
          <w:color w:val="000000" w:themeColor="text1"/>
          <w:sz w:val="24"/>
          <w:szCs w:val="24"/>
        </w:rPr>
        <w:t>.09.2024]</w:t>
      </w:r>
      <w:hyperlink w:history="1"/>
    </w:p>
    <w:p w14:paraId="279737CF" w14:textId="7281A1B0" w:rsidR="00F84174" w:rsidRPr="00D1021A" w:rsidRDefault="00F84174" w:rsidP="009B614E">
      <w:pPr>
        <w:spacing w:before="240" w:line="360" w:lineRule="auto"/>
        <w:ind w:left="-20" w:right="-20"/>
        <w:rPr>
          <w:rFonts w:ascii="Poppins" w:eastAsia="Calibri" w:hAnsi="Poppins" w:cs="Poppins"/>
          <w:color w:val="000000" w:themeColor="text1"/>
          <w:sz w:val="24"/>
          <w:szCs w:val="24"/>
        </w:rPr>
      </w:pPr>
      <w:r w:rsidRPr="006416ED">
        <w:rPr>
          <w:rFonts w:ascii="Poppins" w:eastAsia="Calibri" w:hAnsi="Poppins" w:cs="Poppins"/>
          <w:b/>
          <w:bCs/>
          <w:color w:val="000000" w:themeColor="text1"/>
          <w:sz w:val="24"/>
          <w:szCs w:val="24"/>
          <w:lang w:val="en-US"/>
        </w:rPr>
        <w:t>Grimm, S. (2022).</w:t>
      </w:r>
      <w:r w:rsidRPr="006416ED">
        <w:rPr>
          <w:rFonts w:ascii="Poppins" w:eastAsia="Calibri" w:hAnsi="Poppins" w:cs="Poppins"/>
          <w:color w:val="000000" w:themeColor="text1"/>
          <w:sz w:val="24"/>
          <w:szCs w:val="24"/>
          <w:lang w:val="en-US"/>
        </w:rPr>
        <w:t xml:space="preserve"> </w:t>
      </w:r>
      <w:proofErr w:type="spellStart"/>
      <w:r w:rsidRPr="006416ED">
        <w:rPr>
          <w:rFonts w:ascii="Poppins" w:eastAsia="Calibri" w:hAnsi="Poppins" w:cs="Poppins"/>
          <w:color w:val="000000" w:themeColor="text1"/>
          <w:sz w:val="24"/>
          <w:szCs w:val="24"/>
          <w:lang w:val="en-US"/>
        </w:rPr>
        <w:t>Stichwort</w:t>
      </w:r>
      <w:proofErr w:type="spellEnd"/>
      <w:r w:rsidRPr="006416ED">
        <w:rPr>
          <w:rFonts w:ascii="Poppins" w:eastAsia="Calibri" w:hAnsi="Poppins" w:cs="Poppins"/>
          <w:color w:val="000000" w:themeColor="text1"/>
          <w:sz w:val="24"/>
          <w:szCs w:val="24"/>
          <w:lang w:val="en-US"/>
        </w:rPr>
        <w:t xml:space="preserve"> Open Educational Resources (OER). </w:t>
      </w:r>
      <w:r w:rsidRPr="00D1021A">
        <w:rPr>
          <w:rFonts w:ascii="Poppins" w:eastAsia="Calibri" w:hAnsi="Poppins" w:cs="Poppins"/>
          <w:color w:val="000000" w:themeColor="text1"/>
          <w:sz w:val="24"/>
          <w:szCs w:val="24"/>
        </w:rPr>
        <w:t xml:space="preserve">In: Schrader, J. &amp; Brandt, P. (Hrsg.). (2022). Open Educational Resources - OER [Themenheft]. </w:t>
      </w:r>
      <w:proofErr w:type="gramStart"/>
      <w:r w:rsidRPr="00D1021A">
        <w:rPr>
          <w:rFonts w:ascii="Poppins" w:eastAsia="Calibri" w:hAnsi="Poppins" w:cs="Poppins"/>
          <w:color w:val="000000" w:themeColor="text1"/>
          <w:sz w:val="24"/>
          <w:szCs w:val="24"/>
        </w:rPr>
        <w:t>weiter bilden</w:t>
      </w:r>
      <w:proofErr w:type="gramEnd"/>
      <w:r w:rsidRPr="00D1021A">
        <w:rPr>
          <w:rFonts w:ascii="Poppins" w:eastAsia="Calibri" w:hAnsi="Poppins" w:cs="Poppins"/>
          <w:color w:val="000000" w:themeColor="text1"/>
          <w:sz w:val="24"/>
          <w:szCs w:val="24"/>
        </w:rPr>
        <w:t>. DIE Zeitschrift für Erwachsenenbildung 29 (1). S. 18-19.</w:t>
      </w:r>
      <w:r w:rsidR="002502DC" w:rsidRPr="00D1021A">
        <w:rPr>
          <w:rFonts w:ascii="Poppins" w:eastAsia="Calibri" w:hAnsi="Poppins" w:cs="Poppins"/>
          <w:color w:val="000000" w:themeColor="text1"/>
          <w:sz w:val="24"/>
          <w:szCs w:val="24"/>
        </w:rPr>
        <w:t xml:space="preserve"> Online verfügbar unter: </w:t>
      </w:r>
      <w:hyperlink r:id="rId29" w:history="1">
        <w:r w:rsidR="002502DC" w:rsidRPr="00D1021A">
          <w:rPr>
            <w:rStyle w:val="Hyperlink"/>
            <w:rFonts w:ascii="Poppins" w:eastAsia="Calibri" w:hAnsi="Poppins" w:cs="Poppins"/>
            <w:sz w:val="24"/>
            <w:szCs w:val="24"/>
          </w:rPr>
          <w:t>https://elibrary.utb.de/doi/pdf/10.3278/WBDIE2201W018</w:t>
        </w:r>
      </w:hyperlink>
      <w:r w:rsidR="002502DC" w:rsidRPr="00D1021A">
        <w:rPr>
          <w:rFonts w:ascii="Poppins" w:eastAsia="Calibri" w:hAnsi="Poppins" w:cs="Poppins"/>
          <w:color w:val="000000" w:themeColor="text1"/>
          <w:sz w:val="24"/>
          <w:szCs w:val="24"/>
        </w:rPr>
        <w:t xml:space="preserve"> [</w:t>
      </w:r>
      <w:r w:rsidR="00790313">
        <w:rPr>
          <w:rFonts w:ascii="Poppins" w:eastAsia="Calibri" w:hAnsi="Poppins" w:cs="Poppins"/>
          <w:color w:val="000000" w:themeColor="text1"/>
          <w:sz w:val="24"/>
          <w:szCs w:val="24"/>
        </w:rPr>
        <w:t>12</w:t>
      </w:r>
      <w:r w:rsidR="002502DC" w:rsidRPr="00D1021A">
        <w:rPr>
          <w:rFonts w:ascii="Poppins" w:eastAsia="Calibri" w:hAnsi="Poppins" w:cs="Poppins"/>
          <w:color w:val="000000" w:themeColor="text1"/>
          <w:sz w:val="24"/>
          <w:szCs w:val="24"/>
        </w:rPr>
        <w:t>.09.2024].</w:t>
      </w:r>
    </w:p>
    <w:p w14:paraId="775217A1" w14:textId="7EC25D90" w:rsidR="00F84174" w:rsidRPr="00D1021A" w:rsidRDefault="00F84174" w:rsidP="009B614E">
      <w:pPr>
        <w:spacing w:before="240" w:line="360" w:lineRule="auto"/>
        <w:ind w:left="-20" w:right="-20"/>
        <w:rPr>
          <w:rFonts w:ascii="Poppins" w:eastAsia="Calibri" w:hAnsi="Poppins" w:cs="Poppins"/>
          <w:color w:val="000000" w:themeColor="text1"/>
          <w:sz w:val="24"/>
          <w:szCs w:val="24"/>
        </w:rPr>
      </w:pPr>
      <w:r w:rsidRPr="00D1021A">
        <w:rPr>
          <w:rFonts w:ascii="Poppins" w:eastAsia="Calibri" w:hAnsi="Poppins" w:cs="Poppins"/>
          <w:b/>
          <w:bCs/>
          <w:color w:val="000000" w:themeColor="text1"/>
          <w:sz w:val="24"/>
          <w:szCs w:val="24"/>
        </w:rPr>
        <w:t>Grimm, S. (2023).</w:t>
      </w:r>
      <w:r w:rsidRPr="00D1021A">
        <w:rPr>
          <w:rFonts w:ascii="Poppins" w:eastAsia="Calibri" w:hAnsi="Poppins" w:cs="Poppins"/>
          <w:color w:val="000000" w:themeColor="text1"/>
          <w:sz w:val="24"/>
          <w:szCs w:val="24"/>
        </w:rPr>
        <w:t xml:space="preserve"> Offene Bildung ist mehr als freie Materialien – Ein Beitrag zu Open Educational Practices. Online verfügbar unter: </w:t>
      </w:r>
      <w:hyperlink r:id="rId30" w:history="1">
        <w:r w:rsidRPr="00D1021A">
          <w:rPr>
            <w:rStyle w:val="Hyperlink"/>
            <w:rFonts w:ascii="Poppins" w:eastAsia="Calibri" w:hAnsi="Poppins" w:cs="Poppins"/>
            <w:sz w:val="24"/>
            <w:szCs w:val="24"/>
          </w:rPr>
          <w:t>https://open-</w:t>
        </w:r>
        <w:r w:rsidRPr="00D1021A">
          <w:rPr>
            <w:rStyle w:val="Hyperlink"/>
            <w:rFonts w:ascii="Poppins" w:eastAsia="Calibri" w:hAnsi="Poppins" w:cs="Poppins"/>
            <w:sz w:val="24"/>
            <w:szCs w:val="24"/>
          </w:rPr>
          <w:lastRenderedPageBreak/>
          <w:t>educational-resources.de/offene-bildung-ist-mehr-als-freie-materialien/</w:t>
        </w:r>
      </w:hyperlink>
      <w:r w:rsidRPr="00D1021A">
        <w:rPr>
          <w:rFonts w:ascii="Poppins" w:eastAsia="Calibri" w:hAnsi="Poppins" w:cs="Poppins"/>
          <w:color w:val="000000" w:themeColor="text1"/>
          <w:sz w:val="24"/>
          <w:szCs w:val="24"/>
        </w:rPr>
        <w:t xml:space="preserve"> [1</w:t>
      </w:r>
      <w:r w:rsidR="00790313">
        <w:rPr>
          <w:rFonts w:ascii="Poppins" w:eastAsia="Calibri" w:hAnsi="Poppins" w:cs="Poppins"/>
          <w:color w:val="000000" w:themeColor="text1"/>
          <w:sz w:val="24"/>
          <w:szCs w:val="24"/>
        </w:rPr>
        <w:t>2</w:t>
      </w:r>
      <w:r w:rsidRPr="00D1021A">
        <w:rPr>
          <w:rFonts w:ascii="Poppins" w:eastAsia="Calibri" w:hAnsi="Poppins" w:cs="Poppins"/>
          <w:color w:val="000000" w:themeColor="text1"/>
          <w:sz w:val="24"/>
          <w:szCs w:val="24"/>
        </w:rPr>
        <w:t>.0</w:t>
      </w:r>
      <w:r w:rsidR="00790313">
        <w:rPr>
          <w:rFonts w:ascii="Poppins" w:eastAsia="Calibri" w:hAnsi="Poppins" w:cs="Poppins"/>
          <w:color w:val="000000" w:themeColor="text1"/>
          <w:sz w:val="24"/>
          <w:szCs w:val="24"/>
        </w:rPr>
        <w:t>9</w:t>
      </w:r>
      <w:r w:rsidRPr="00D1021A">
        <w:rPr>
          <w:rFonts w:ascii="Poppins" w:eastAsia="Calibri" w:hAnsi="Poppins" w:cs="Poppins"/>
          <w:color w:val="000000" w:themeColor="text1"/>
          <w:sz w:val="24"/>
          <w:szCs w:val="24"/>
        </w:rPr>
        <w:t>.</w:t>
      </w:r>
      <w:r w:rsidR="000C2B5C" w:rsidRPr="00D1021A">
        <w:rPr>
          <w:rFonts w:ascii="Poppins" w:eastAsia="Calibri" w:hAnsi="Poppins" w:cs="Poppins"/>
          <w:color w:val="000000" w:themeColor="text1"/>
          <w:sz w:val="24"/>
          <w:szCs w:val="24"/>
        </w:rPr>
        <w:t>20</w:t>
      </w:r>
      <w:r w:rsidRPr="00D1021A">
        <w:rPr>
          <w:rFonts w:ascii="Poppins" w:eastAsia="Calibri" w:hAnsi="Poppins" w:cs="Poppins"/>
          <w:color w:val="000000" w:themeColor="text1"/>
          <w:sz w:val="24"/>
          <w:szCs w:val="24"/>
        </w:rPr>
        <w:t>24].</w:t>
      </w:r>
    </w:p>
    <w:p w14:paraId="256B8FB8" w14:textId="43BE0752" w:rsidR="00B33684" w:rsidRPr="00D1021A" w:rsidRDefault="00B33684" w:rsidP="009B614E">
      <w:pPr>
        <w:spacing w:before="240" w:line="360" w:lineRule="auto"/>
        <w:ind w:left="-20" w:right="-20"/>
        <w:rPr>
          <w:rFonts w:ascii="Poppins" w:hAnsi="Poppins" w:cs="Poppins"/>
          <w:sz w:val="24"/>
          <w:szCs w:val="24"/>
        </w:rPr>
      </w:pPr>
      <w:proofErr w:type="spellStart"/>
      <w:r w:rsidRPr="006416ED">
        <w:rPr>
          <w:rFonts w:ascii="Poppins" w:hAnsi="Poppins" w:cs="Poppins"/>
          <w:b/>
          <w:bCs/>
          <w:sz w:val="24"/>
          <w:szCs w:val="24"/>
          <w:lang w:val="en-US"/>
        </w:rPr>
        <w:t>Gurell</w:t>
      </w:r>
      <w:proofErr w:type="spellEnd"/>
      <w:r w:rsidRPr="006416ED">
        <w:rPr>
          <w:rFonts w:ascii="Poppins" w:hAnsi="Poppins" w:cs="Poppins"/>
          <w:b/>
          <w:bCs/>
          <w:sz w:val="24"/>
          <w:szCs w:val="24"/>
          <w:lang w:val="en-US"/>
        </w:rPr>
        <w:t xml:space="preserve">, S., &amp; </w:t>
      </w:r>
      <w:proofErr w:type="spellStart"/>
      <w:r w:rsidRPr="006416ED">
        <w:rPr>
          <w:rFonts w:ascii="Poppins" w:hAnsi="Poppins" w:cs="Poppins"/>
          <w:b/>
          <w:bCs/>
          <w:sz w:val="24"/>
          <w:szCs w:val="24"/>
          <w:lang w:val="en-US"/>
        </w:rPr>
        <w:t>Widley</w:t>
      </w:r>
      <w:proofErr w:type="spellEnd"/>
      <w:r w:rsidRPr="006416ED">
        <w:rPr>
          <w:rFonts w:ascii="Poppins" w:hAnsi="Poppins" w:cs="Poppins"/>
          <w:b/>
          <w:bCs/>
          <w:sz w:val="24"/>
          <w:szCs w:val="24"/>
          <w:lang w:val="en-US"/>
        </w:rPr>
        <w:t>, D. (2008).</w:t>
      </w:r>
      <w:r w:rsidRPr="006416ED">
        <w:rPr>
          <w:rFonts w:ascii="Poppins" w:hAnsi="Poppins" w:cs="Poppins"/>
          <w:sz w:val="24"/>
          <w:szCs w:val="24"/>
          <w:lang w:val="en-US"/>
        </w:rPr>
        <w:t xml:space="preserve"> Open Educational Resources Handbook 1.0. </w:t>
      </w:r>
      <w:r w:rsidRPr="00D1021A">
        <w:rPr>
          <w:rFonts w:ascii="Poppins" w:hAnsi="Poppins" w:cs="Poppins"/>
          <w:sz w:val="24"/>
          <w:szCs w:val="24"/>
        </w:rPr>
        <w:t xml:space="preserve">Center </w:t>
      </w:r>
      <w:proofErr w:type="spellStart"/>
      <w:r w:rsidRPr="00D1021A">
        <w:rPr>
          <w:rFonts w:ascii="Poppins" w:hAnsi="Poppins" w:cs="Poppins"/>
          <w:sz w:val="24"/>
          <w:szCs w:val="24"/>
        </w:rPr>
        <w:t>for</w:t>
      </w:r>
      <w:proofErr w:type="spellEnd"/>
      <w:r w:rsidRPr="00D1021A">
        <w:rPr>
          <w:rFonts w:ascii="Poppins" w:hAnsi="Poppins" w:cs="Poppins"/>
          <w:sz w:val="24"/>
          <w:szCs w:val="24"/>
        </w:rPr>
        <w:t xml:space="preserve"> open and </w:t>
      </w:r>
      <w:proofErr w:type="spellStart"/>
      <w:r w:rsidRPr="00D1021A">
        <w:rPr>
          <w:rFonts w:ascii="Poppins" w:hAnsi="Poppins" w:cs="Poppins"/>
          <w:sz w:val="24"/>
          <w:szCs w:val="24"/>
        </w:rPr>
        <w:t>sustainable</w:t>
      </w:r>
      <w:proofErr w:type="spellEnd"/>
      <w:r w:rsidRPr="00D1021A">
        <w:rPr>
          <w:rFonts w:ascii="Poppins" w:hAnsi="Poppins" w:cs="Poppins"/>
          <w:sz w:val="24"/>
          <w:szCs w:val="24"/>
        </w:rPr>
        <w:t xml:space="preserve"> Learning.</w:t>
      </w:r>
    </w:p>
    <w:p w14:paraId="713DA5C9" w14:textId="460CFD61" w:rsidR="003A08D5" w:rsidRPr="00D1021A" w:rsidRDefault="003A08D5" w:rsidP="009B614E">
      <w:pPr>
        <w:spacing w:before="240" w:line="360" w:lineRule="auto"/>
        <w:ind w:left="-20" w:right="-20"/>
        <w:rPr>
          <w:rFonts w:ascii="Poppins" w:hAnsi="Poppins" w:cs="Poppins"/>
          <w:sz w:val="24"/>
          <w:szCs w:val="24"/>
        </w:rPr>
      </w:pPr>
      <w:proofErr w:type="spellStart"/>
      <w:r w:rsidRPr="00D1021A">
        <w:rPr>
          <w:rFonts w:ascii="Poppins" w:hAnsi="Poppins" w:cs="Poppins"/>
          <w:b/>
          <w:bCs/>
          <w:sz w:val="24"/>
          <w:szCs w:val="24"/>
        </w:rPr>
        <w:t>Herwald</w:t>
      </w:r>
      <w:proofErr w:type="spellEnd"/>
      <w:r w:rsidRPr="00D1021A">
        <w:rPr>
          <w:rFonts w:ascii="Poppins" w:hAnsi="Poppins" w:cs="Poppins"/>
          <w:b/>
          <w:bCs/>
          <w:sz w:val="24"/>
          <w:szCs w:val="24"/>
        </w:rPr>
        <w:t>, H. (2020).</w:t>
      </w:r>
      <w:r w:rsidRPr="00D1021A">
        <w:rPr>
          <w:rFonts w:ascii="Poppins" w:hAnsi="Poppins" w:cs="Poppins"/>
          <w:sz w:val="24"/>
          <w:szCs w:val="24"/>
        </w:rPr>
        <w:t xml:space="preserve"> Warum Ethik in der Wissenschaft wichtig ist: </w:t>
      </w:r>
      <w:r w:rsidR="000518E0" w:rsidRPr="00D1021A">
        <w:rPr>
          <w:rFonts w:ascii="Poppins" w:hAnsi="Poppins" w:cs="Poppins"/>
          <w:sz w:val="24"/>
          <w:szCs w:val="24"/>
        </w:rPr>
        <w:t xml:space="preserve">Ein </w:t>
      </w:r>
      <w:r w:rsidRPr="00D1021A">
        <w:rPr>
          <w:rFonts w:ascii="Poppins" w:hAnsi="Poppins" w:cs="Poppins"/>
          <w:sz w:val="24"/>
          <w:szCs w:val="24"/>
        </w:rPr>
        <w:t>Überblick für Wissenschaftler, Ethiker und Politiker. Springer-Verlag.</w:t>
      </w:r>
    </w:p>
    <w:p w14:paraId="59D0C7D6" w14:textId="16A3A1C4" w:rsidR="007D3618" w:rsidRPr="00D1021A" w:rsidRDefault="002943D2" w:rsidP="007D3618">
      <w:pPr>
        <w:spacing w:line="360" w:lineRule="auto"/>
        <w:rPr>
          <w:rFonts w:ascii="Poppins" w:hAnsi="Poppins" w:cs="Poppins"/>
        </w:rPr>
      </w:pPr>
      <w:proofErr w:type="spellStart"/>
      <w:r w:rsidRPr="00D1021A">
        <w:rPr>
          <w:rFonts w:ascii="Poppins" w:hAnsi="Poppins" w:cs="Poppins"/>
          <w:b/>
          <w:bCs/>
          <w:sz w:val="24"/>
          <w:szCs w:val="24"/>
        </w:rPr>
        <w:t>Hofhues</w:t>
      </w:r>
      <w:proofErr w:type="spellEnd"/>
      <w:r w:rsidRPr="00D1021A">
        <w:rPr>
          <w:rFonts w:ascii="Poppins" w:hAnsi="Poppins" w:cs="Poppins"/>
          <w:b/>
          <w:bCs/>
          <w:sz w:val="24"/>
          <w:szCs w:val="24"/>
        </w:rPr>
        <w:t>, S. (2021).</w:t>
      </w:r>
      <w:r w:rsidRPr="00D1021A">
        <w:rPr>
          <w:rFonts w:ascii="Poppins" w:hAnsi="Poppins" w:cs="Poppins"/>
          <w:sz w:val="24"/>
          <w:szCs w:val="24"/>
        </w:rPr>
        <w:t xml:space="preserve"> Diskussionsfelder der Medienpädagogik: Open Educational Resources (OER). In U. Sander, F. von </w:t>
      </w:r>
      <w:proofErr w:type="spellStart"/>
      <w:r w:rsidRPr="00D1021A">
        <w:rPr>
          <w:rFonts w:ascii="Poppins" w:hAnsi="Poppins" w:cs="Poppins"/>
          <w:sz w:val="24"/>
          <w:szCs w:val="24"/>
        </w:rPr>
        <w:t>Gross</w:t>
      </w:r>
      <w:proofErr w:type="spellEnd"/>
      <w:r w:rsidRPr="00D1021A">
        <w:rPr>
          <w:rFonts w:ascii="Poppins" w:hAnsi="Poppins" w:cs="Poppins"/>
          <w:sz w:val="24"/>
          <w:szCs w:val="24"/>
        </w:rPr>
        <w:t xml:space="preserve"> &amp; K.-U. Hugger</w:t>
      </w:r>
      <w:r w:rsidR="007D3618" w:rsidRPr="00D1021A">
        <w:rPr>
          <w:rFonts w:ascii="Poppins" w:hAnsi="Poppins" w:cs="Poppins"/>
          <w:i/>
          <w:iCs/>
          <w:sz w:val="24"/>
          <w:szCs w:val="24"/>
        </w:rPr>
        <w:t>:</w:t>
      </w:r>
      <w:r w:rsidRPr="00D1021A">
        <w:rPr>
          <w:rFonts w:ascii="Poppins" w:hAnsi="Poppins" w:cs="Poppins"/>
          <w:i/>
          <w:iCs/>
          <w:sz w:val="24"/>
          <w:szCs w:val="24"/>
        </w:rPr>
        <w:t> Handbuch Medienpädagogik</w:t>
      </w:r>
      <w:r w:rsidRPr="00D1021A">
        <w:rPr>
          <w:rFonts w:ascii="Poppins" w:hAnsi="Poppins" w:cs="Poppins"/>
          <w:sz w:val="24"/>
          <w:szCs w:val="24"/>
        </w:rPr>
        <w:t>. 2. Auflage Wiesbaden: Springer</w:t>
      </w:r>
      <w:r w:rsidR="007D3618" w:rsidRPr="00D1021A">
        <w:rPr>
          <w:rFonts w:ascii="Poppins" w:hAnsi="Poppins" w:cs="Poppins"/>
        </w:rPr>
        <w:t xml:space="preserve"> (S. 1-9).</w:t>
      </w:r>
    </w:p>
    <w:p w14:paraId="7E54C24A" w14:textId="05D9E760" w:rsidR="002943D2" w:rsidRPr="00D1021A" w:rsidRDefault="002943D2" w:rsidP="009B614E">
      <w:pPr>
        <w:spacing w:before="240" w:line="360" w:lineRule="auto"/>
        <w:ind w:left="-20" w:right="-20"/>
        <w:rPr>
          <w:rFonts w:ascii="Poppins" w:hAnsi="Poppins" w:cs="Poppins"/>
          <w:sz w:val="24"/>
          <w:szCs w:val="24"/>
        </w:rPr>
      </w:pPr>
      <w:proofErr w:type="spellStart"/>
      <w:r w:rsidRPr="00D1021A">
        <w:rPr>
          <w:rFonts w:ascii="Poppins" w:hAnsi="Poppins" w:cs="Poppins"/>
          <w:b/>
          <w:bCs/>
          <w:sz w:val="24"/>
          <w:szCs w:val="24"/>
        </w:rPr>
        <w:t>Hofhues</w:t>
      </w:r>
      <w:proofErr w:type="spellEnd"/>
      <w:r w:rsidRPr="00D1021A">
        <w:rPr>
          <w:rFonts w:ascii="Poppins" w:hAnsi="Poppins" w:cs="Poppins"/>
          <w:b/>
          <w:bCs/>
          <w:sz w:val="24"/>
          <w:szCs w:val="24"/>
        </w:rPr>
        <w:t xml:space="preserve">, S., Altenrath, M. </w:t>
      </w:r>
      <w:proofErr w:type="spellStart"/>
      <w:r w:rsidRPr="00D1021A">
        <w:rPr>
          <w:rFonts w:ascii="Poppins" w:hAnsi="Poppins" w:cs="Poppins"/>
          <w:b/>
          <w:bCs/>
          <w:sz w:val="24"/>
          <w:szCs w:val="24"/>
        </w:rPr>
        <w:t>Habla</w:t>
      </w:r>
      <w:proofErr w:type="spellEnd"/>
      <w:r w:rsidRPr="00D1021A">
        <w:rPr>
          <w:rFonts w:ascii="Poppins" w:hAnsi="Poppins" w:cs="Poppins"/>
          <w:b/>
          <w:bCs/>
          <w:sz w:val="24"/>
          <w:szCs w:val="24"/>
        </w:rPr>
        <w:t xml:space="preserve">, S. &amp; </w:t>
      </w:r>
      <w:proofErr w:type="spellStart"/>
      <w:r w:rsidRPr="00D1021A">
        <w:rPr>
          <w:rFonts w:ascii="Poppins" w:hAnsi="Poppins" w:cs="Poppins"/>
          <w:b/>
          <w:bCs/>
          <w:sz w:val="24"/>
          <w:szCs w:val="24"/>
        </w:rPr>
        <w:t>Piske</w:t>
      </w:r>
      <w:proofErr w:type="spellEnd"/>
      <w:r w:rsidRPr="00D1021A">
        <w:rPr>
          <w:rFonts w:ascii="Poppins" w:hAnsi="Poppins" w:cs="Poppins"/>
          <w:b/>
          <w:bCs/>
          <w:sz w:val="24"/>
          <w:szCs w:val="24"/>
        </w:rPr>
        <w:t>, C. (2021).</w:t>
      </w:r>
      <w:r w:rsidRPr="00D1021A">
        <w:rPr>
          <w:rFonts w:ascii="Poppins" w:hAnsi="Poppins" w:cs="Poppins"/>
          <w:sz w:val="24"/>
          <w:szCs w:val="24"/>
        </w:rPr>
        <w:t xml:space="preserve"> OER-Strategie des Bundes: Anmerkungen und Anregungen zu fünf Fragen im Themenbereich “Mensch”. Online verfügbar unter: </w:t>
      </w:r>
      <w:hyperlink r:id="rId31" w:history="1">
        <w:r w:rsidRPr="00D1021A">
          <w:rPr>
            <w:rStyle w:val="Hyperlink"/>
            <w:rFonts w:ascii="Poppins" w:hAnsi="Poppins" w:cs="Poppins"/>
            <w:sz w:val="24"/>
            <w:szCs w:val="24"/>
          </w:rPr>
          <w:t>https://www.sandrahofhues.de/2021/02/23/oer-strategie-des-bundes-anmerkungen-und-anregungen-zu-fuenf-fragen-im-themenbereich-mensch/</w:t>
        </w:r>
      </w:hyperlink>
      <w:r w:rsidRPr="00D1021A">
        <w:rPr>
          <w:rFonts w:ascii="Poppins" w:hAnsi="Poppins" w:cs="Poppins"/>
          <w:sz w:val="24"/>
          <w:szCs w:val="24"/>
        </w:rPr>
        <w:t xml:space="preserve"> [1</w:t>
      </w:r>
      <w:r w:rsidR="00790313">
        <w:rPr>
          <w:rFonts w:ascii="Poppins" w:hAnsi="Poppins" w:cs="Poppins"/>
          <w:sz w:val="24"/>
          <w:szCs w:val="24"/>
        </w:rPr>
        <w:t>2</w:t>
      </w:r>
      <w:r w:rsidRPr="00D1021A">
        <w:rPr>
          <w:rFonts w:ascii="Poppins" w:hAnsi="Poppins" w:cs="Poppins"/>
          <w:sz w:val="24"/>
          <w:szCs w:val="24"/>
        </w:rPr>
        <w:t>.0</w:t>
      </w:r>
      <w:r w:rsidR="00790313">
        <w:rPr>
          <w:rFonts w:ascii="Poppins" w:hAnsi="Poppins" w:cs="Poppins"/>
          <w:sz w:val="24"/>
          <w:szCs w:val="24"/>
        </w:rPr>
        <w:t>9.</w:t>
      </w:r>
      <w:r w:rsidRPr="00D1021A">
        <w:rPr>
          <w:rFonts w:ascii="Poppins" w:hAnsi="Poppins" w:cs="Poppins"/>
          <w:sz w:val="24"/>
          <w:szCs w:val="24"/>
        </w:rPr>
        <w:t>2024].</w:t>
      </w:r>
    </w:p>
    <w:p w14:paraId="17028FCF" w14:textId="5922B679" w:rsidR="00F74F42" w:rsidRPr="00D1021A" w:rsidRDefault="00F74F42" w:rsidP="009B614E">
      <w:pPr>
        <w:spacing w:before="240" w:line="360" w:lineRule="auto"/>
        <w:ind w:left="-20" w:right="-20"/>
        <w:rPr>
          <w:rFonts w:ascii="Poppins" w:hAnsi="Poppins" w:cs="Poppins"/>
          <w:sz w:val="24"/>
          <w:szCs w:val="24"/>
        </w:rPr>
      </w:pPr>
      <w:bookmarkStart w:id="100" w:name="_Hlk174520347"/>
      <w:r w:rsidRPr="00D1021A">
        <w:rPr>
          <w:rFonts w:ascii="Poppins" w:hAnsi="Poppins" w:cs="Poppins"/>
          <w:b/>
          <w:bCs/>
          <w:sz w:val="24"/>
          <w:szCs w:val="24"/>
        </w:rPr>
        <w:t xml:space="preserve">Lübben, S., </w:t>
      </w:r>
      <w:proofErr w:type="spellStart"/>
      <w:r w:rsidRPr="00D1021A">
        <w:rPr>
          <w:rFonts w:ascii="Poppins" w:hAnsi="Poppins" w:cs="Poppins"/>
          <w:b/>
          <w:bCs/>
          <w:sz w:val="24"/>
          <w:szCs w:val="24"/>
        </w:rPr>
        <w:t>Müskens</w:t>
      </w:r>
      <w:proofErr w:type="spellEnd"/>
      <w:r w:rsidRPr="00D1021A">
        <w:rPr>
          <w:rFonts w:ascii="Poppins" w:hAnsi="Poppins" w:cs="Poppins"/>
          <w:b/>
          <w:bCs/>
          <w:sz w:val="24"/>
          <w:szCs w:val="24"/>
        </w:rPr>
        <w:t xml:space="preserve">, W., &amp; </w:t>
      </w:r>
      <w:proofErr w:type="spellStart"/>
      <w:r w:rsidRPr="00D1021A">
        <w:rPr>
          <w:rFonts w:ascii="Poppins" w:hAnsi="Poppins" w:cs="Poppins"/>
          <w:b/>
          <w:bCs/>
          <w:sz w:val="24"/>
          <w:szCs w:val="24"/>
        </w:rPr>
        <w:t>Zawacki</w:t>
      </w:r>
      <w:proofErr w:type="spellEnd"/>
      <w:r w:rsidRPr="00D1021A">
        <w:rPr>
          <w:rFonts w:ascii="Poppins" w:hAnsi="Poppins" w:cs="Poppins"/>
          <w:b/>
          <w:bCs/>
          <w:sz w:val="24"/>
          <w:szCs w:val="24"/>
        </w:rPr>
        <w:t xml:space="preserve">-Richter, O. </w:t>
      </w:r>
      <w:bookmarkEnd w:id="100"/>
      <w:r w:rsidRPr="00D1021A">
        <w:rPr>
          <w:rFonts w:ascii="Poppins" w:hAnsi="Poppins" w:cs="Poppins"/>
          <w:b/>
          <w:bCs/>
          <w:sz w:val="24"/>
          <w:szCs w:val="24"/>
        </w:rPr>
        <w:t>(2023).</w:t>
      </w:r>
      <w:r w:rsidRPr="00D1021A">
        <w:rPr>
          <w:rFonts w:ascii="Poppins" w:hAnsi="Poppins" w:cs="Poppins"/>
          <w:sz w:val="24"/>
          <w:szCs w:val="24"/>
        </w:rPr>
        <w:t xml:space="preserve"> </w:t>
      </w:r>
      <w:r w:rsidRPr="006416ED">
        <w:rPr>
          <w:rFonts w:ascii="Poppins" w:hAnsi="Poppins" w:cs="Poppins"/>
          <w:sz w:val="24"/>
          <w:szCs w:val="24"/>
          <w:lang w:val="en-US"/>
        </w:rPr>
        <w:t xml:space="preserve">Quality of OER: Test Theoretical Development and Validation of an Assessment Tool. In Distributed Learning Ecosystems: Concepts, Resources, and Repositories (pp. 139-160). Wiesbaden: Springer </w:t>
      </w:r>
      <w:proofErr w:type="spellStart"/>
      <w:r w:rsidRPr="006416ED">
        <w:rPr>
          <w:rFonts w:ascii="Poppins" w:hAnsi="Poppins" w:cs="Poppins"/>
          <w:sz w:val="24"/>
          <w:szCs w:val="24"/>
          <w:lang w:val="en-US"/>
        </w:rPr>
        <w:t>Fachmedien</w:t>
      </w:r>
      <w:proofErr w:type="spellEnd"/>
      <w:r w:rsidRPr="006416ED">
        <w:rPr>
          <w:rFonts w:ascii="Poppins" w:hAnsi="Poppins" w:cs="Poppins"/>
          <w:sz w:val="24"/>
          <w:szCs w:val="24"/>
          <w:lang w:val="en-US"/>
        </w:rPr>
        <w:t xml:space="preserve"> Wiesbaden.</w:t>
      </w:r>
      <w:r w:rsidR="000C2B5C" w:rsidRPr="006416ED">
        <w:rPr>
          <w:rFonts w:ascii="Poppins" w:hAnsi="Poppins" w:cs="Poppins"/>
          <w:sz w:val="24"/>
          <w:szCs w:val="24"/>
          <w:lang w:val="en-US"/>
        </w:rPr>
        <w:t xml:space="preserve"> </w:t>
      </w:r>
      <w:r w:rsidR="000C2B5C" w:rsidRPr="00D1021A">
        <w:rPr>
          <w:rFonts w:ascii="Poppins" w:hAnsi="Poppins" w:cs="Poppins"/>
          <w:sz w:val="24"/>
          <w:szCs w:val="24"/>
        </w:rPr>
        <w:t xml:space="preserve">Online verfügbar unter: </w:t>
      </w:r>
      <w:hyperlink r:id="rId32" w:history="1">
        <w:r w:rsidR="00790313" w:rsidRPr="00790313">
          <w:rPr>
            <w:rStyle w:val="Hyperlink"/>
            <w:rFonts w:ascii="Poppins" w:hAnsi="Poppins" w:cs="Poppins"/>
            <w:sz w:val="24"/>
            <w:szCs w:val="24"/>
          </w:rPr>
          <w:t>https://link.springer.com/chapter/10.1007/978-3-658-38703-7_8</w:t>
        </w:r>
      </w:hyperlink>
      <w:r w:rsidR="000C2B5C" w:rsidRPr="00790313">
        <w:rPr>
          <w:rFonts w:ascii="Poppins" w:hAnsi="Poppins" w:cs="Poppins"/>
          <w:sz w:val="28"/>
          <w:szCs w:val="28"/>
        </w:rPr>
        <w:t xml:space="preserve"> </w:t>
      </w:r>
      <w:r w:rsidR="000C2B5C" w:rsidRPr="00D1021A">
        <w:rPr>
          <w:rFonts w:ascii="Poppins" w:hAnsi="Poppins" w:cs="Poppins"/>
          <w:sz w:val="24"/>
          <w:szCs w:val="24"/>
        </w:rPr>
        <w:t>[</w:t>
      </w:r>
      <w:r w:rsidR="00790313">
        <w:rPr>
          <w:rFonts w:ascii="Poppins" w:hAnsi="Poppins" w:cs="Poppins"/>
          <w:sz w:val="24"/>
          <w:szCs w:val="24"/>
        </w:rPr>
        <w:t>12</w:t>
      </w:r>
      <w:r w:rsidR="000C2B5C" w:rsidRPr="00D1021A">
        <w:rPr>
          <w:rFonts w:ascii="Poppins" w:hAnsi="Poppins" w:cs="Poppins"/>
          <w:sz w:val="24"/>
          <w:szCs w:val="24"/>
        </w:rPr>
        <w:t>.09.2024].</w:t>
      </w:r>
    </w:p>
    <w:p w14:paraId="5E6AB4CD" w14:textId="4A173178" w:rsidR="002B7B2F" w:rsidRPr="006416ED" w:rsidRDefault="002B7B2F" w:rsidP="009B614E">
      <w:pPr>
        <w:spacing w:before="240" w:line="360" w:lineRule="auto"/>
        <w:ind w:left="-20" w:right="-20"/>
        <w:rPr>
          <w:rFonts w:ascii="Poppins" w:eastAsia="Calibri" w:hAnsi="Poppins" w:cs="Poppins"/>
          <w:color w:val="000000" w:themeColor="text1"/>
          <w:sz w:val="24"/>
          <w:szCs w:val="24"/>
          <w:lang w:val="en-US"/>
        </w:rPr>
      </w:pPr>
      <w:r w:rsidRPr="00D1021A">
        <w:rPr>
          <w:rFonts w:ascii="Poppins" w:eastAsia="Calibri" w:hAnsi="Poppins" w:cs="Poppins"/>
          <w:b/>
          <w:bCs/>
          <w:color w:val="000000" w:themeColor="text1"/>
          <w:sz w:val="24"/>
          <w:szCs w:val="24"/>
        </w:rPr>
        <w:lastRenderedPageBreak/>
        <w:t xml:space="preserve">Marín, V. I., Orellana, M. L., &amp; </w:t>
      </w:r>
      <w:proofErr w:type="spellStart"/>
      <w:r w:rsidRPr="00D1021A">
        <w:rPr>
          <w:rFonts w:ascii="Poppins" w:eastAsia="Calibri" w:hAnsi="Poppins" w:cs="Poppins"/>
          <w:b/>
          <w:bCs/>
          <w:color w:val="000000" w:themeColor="text1"/>
          <w:sz w:val="24"/>
          <w:szCs w:val="24"/>
        </w:rPr>
        <w:t>Peré</w:t>
      </w:r>
      <w:proofErr w:type="spellEnd"/>
      <w:r w:rsidRPr="00D1021A">
        <w:rPr>
          <w:rFonts w:ascii="Poppins" w:eastAsia="Calibri" w:hAnsi="Poppins" w:cs="Poppins"/>
          <w:b/>
          <w:bCs/>
          <w:color w:val="000000" w:themeColor="text1"/>
          <w:sz w:val="24"/>
          <w:szCs w:val="24"/>
        </w:rPr>
        <w:t xml:space="preserve">, N. (2019). </w:t>
      </w:r>
      <w:r w:rsidRPr="006416ED">
        <w:rPr>
          <w:rFonts w:ascii="Poppins" w:eastAsia="Calibri" w:hAnsi="Poppins" w:cs="Poppins"/>
          <w:color w:val="000000" w:themeColor="text1"/>
          <w:sz w:val="24"/>
          <w:szCs w:val="24"/>
          <w:lang w:val="en-US"/>
        </w:rPr>
        <w:t>Open educational resources for research training: quality assurance through a collaborative evaluation. Research in Learning Technology, 27.</w:t>
      </w:r>
      <w:r w:rsidR="00790313" w:rsidRPr="006416ED">
        <w:rPr>
          <w:rFonts w:ascii="Poppins" w:eastAsia="Calibri" w:hAnsi="Poppins" w:cs="Poppins"/>
          <w:color w:val="000000" w:themeColor="text1"/>
          <w:sz w:val="24"/>
          <w:szCs w:val="24"/>
          <w:lang w:val="en-US"/>
        </w:rPr>
        <w:t xml:space="preserve"> </w:t>
      </w:r>
      <w:r w:rsidR="000C2B5C" w:rsidRPr="006416ED">
        <w:rPr>
          <w:rFonts w:ascii="Poppins" w:eastAsia="Calibri" w:hAnsi="Poppins" w:cs="Poppins"/>
          <w:color w:val="000000" w:themeColor="text1"/>
          <w:sz w:val="24"/>
          <w:szCs w:val="24"/>
          <w:lang w:val="en-US"/>
        </w:rPr>
        <w:t xml:space="preserve">Online </w:t>
      </w:r>
      <w:proofErr w:type="spellStart"/>
      <w:r w:rsidR="000C2B5C" w:rsidRPr="006416ED">
        <w:rPr>
          <w:rFonts w:ascii="Poppins" w:eastAsia="Calibri" w:hAnsi="Poppins" w:cs="Poppins"/>
          <w:color w:val="000000" w:themeColor="text1"/>
          <w:sz w:val="24"/>
          <w:szCs w:val="24"/>
          <w:lang w:val="en-US"/>
        </w:rPr>
        <w:t>verfügbar</w:t>
      </w:r>
      <w:proofErr w:type="spellEnd"/>
      <w:r w:rsidR="000C2B5C" w:rsidRPr="006416ED">
        <w:rPr>
          <w:rFonts w:ascii="Poppins" w:eastAsia="Calibri" w:hAnsi="Poppins" w:cs="Poppins"/>
          <w:color w:val="000000" w:themeColor="text1"/>
          <w:sz w:val="24"/>
          <w:szCs w:val="24"/>
          <w:lang w:val="en-US"/>
        </w:rPr>
        <w:t xml:space="preserve"> </w:t>
      </w:r>
      <w:proofErr w:type="spellStart"/>
      <w:r w:rsidR="000C2B5C" w:rsidRPr="006416ED">
        <w:rPr>
          <w:rFonts w:ascii="Poppins" w:eastAsia="Calibri" w:hAnsi="Poppins" w:cs="Poppins"/>
          <w:color w:val="000000" w:themeColor="text1"/>
          <w:sz w:val="24"/>
          <w:szCs w:val="24"/>
          <w:lang w:val="en-US"/>
        </w:rPr>
        <w:t>unter</w:t>
      </w:r>
      <w:proofErr w:type="spellEnd"/>
      <w:r w:rsidR="000C2B5C" w:rsidRPr="006416ED">
        <w:rPr>
          <w:rFonts w:ascii="Poppins" w:eastAsia="Calibri" w:hAnsi="Poppins" w:cs="Poppins"/>
          <w:color w:val="000000" w:themeColor="text1"/>
          <w:sz w:val="24"/>
          <w:szCs w:val="24"/>
          <w:lang w:val="en-US"/>
        </w:rPr>
        <w:t xml:space="preserve">: </w:t>
      </w:r>
      <w:hyperlink r:id="rId33" w:history="1">
        <w:r w:rsidR="00790313" w:rsidRPr="006416ED">
          <w:rPr>
            <w:rStyle w:val="Hyperlink"/>
            <w:rFonts w:ascii="Poppins" w:hAnsi="Poppins" w:cs="Poppins"/>
            <w:sz w:val="24"/>
            <w:szCs w:val="24"/>
            <w:lang w:val="en-US"/>
          </w:rPr>
          <w:t>https://www.academia.edu/122661282/Open_educational_resources_for_research_training_quality_assurance_through_a_collaborative_evaluation</w:t>
        </w:r>
      </w:hyperlink>
      <w:r w:rsidR="000C2B5C" w:rsidRPr="006416ED">
        <w:rPr>
          <w:rFonts w:ascii="Poppins" w:eastAsia="Calibri" w:hAnsi="Poppins" w:cs="Poppins"/>
          <w:color w:val="000000" w:themeColor="text1"/>
          <w:sz w:val="24"/>
          <w:szCs w:val="24"/>
          <w:lang w:val="en-US"/>
        </w:rPr>
        <w:t xml:space="preserve"> [</w:t>
      </w:r>
      <w:r w:rsidR="00790313" w:rsidRPr="006416ED">
        <w:rPr>
          <w:rFonts w:ascii="Poppins" w:eastAsia="Calibri" w:hAnsi="Poppins" w:cs="Poppins"/>
          <w:color w:val="000000" w:themeColor="text1"/>
          <w:sz w:val="24"/>
          <w:szCs w:val="24"/>
          <w:lang w:val="en-US"/>
        </w:rPr>
        <w:t>12</w:t>
      </w:r>
      <w:r w:rsidR="000C2B5C" w:rsidRPr="006416ED">
        <w:rPr>
          <w:rFonts w:ascii="Poppins" w:eastAsia="Calibri" w:hAnsi="Poppins" w:cs="Poppins"/>
          <w:color w:val="000000" w:themeColor="text1"/>
          <w:sz w:val="24"/>
          <w:szCs w:val="24"/>
          <w:lang w:val="en-US"/>
        </w:rPr>
        <w:t>.09.2024].</w:t>
      </w:r>
    </w:p>
    <w:p w14:paraId="097EB390" w14:textId="6E2E7312" w:rsidR="00BA33B7" w:rsidRPr="006416ED" w:rsidRDefault="003A5008" w:rsidP="00BA33B7">
      <w:pPr>
        <w:spacing w:before="240" w:line="360" w:lineRule="auto"/>
        <w:ind w:left="-20" w:right="-20"/>
        <w:rPr>
          <w:rFonts w:ascii="Poppins" w:eastAsia="Calibri" w:hAnsi="Poppins" w:cs="Poppins"/>
          <w:color w:val="000000" w:themeColor="text1"/>
          <w:sz w:val="24"/>
          <w:szCs w:val="24"/>
          <w:lang w:val="en-US"/>
        </w:rPr>
      </w:pPr>
      <w:r w:rsidRPr="006416ED">
        <w:rPr>
          <w:rFonts w:ascii="Poppins" w:eastAsia="Calibri" w:hAnsi="Poppins" w:cs="Poppins"/>
          <w:b/>
          <w:bCs/>
          <w:color w:val="000000" w:themeColor="text1"/>
          <w:sz w:val="24"/>
          <w:szCs w:val="24"/>
          <w:lang w:val="en-US"/>
        </w:rPr>
        <w:t xml:space="preserve">McGreal, R.; Kinuthia, W. &amp; Marshall, S. (2013). </w:t>
      </w:r>
      <w:r w:rsidRPr="006416ED">
        <w:rPr>
          <w:rFonts w:ascii="Poppins" w:eastAsia="Calibri" w:hAnsi="Poppins" w:cs="Poppins"/>
          <w:color w:val="000000" w:themeColor="text1"/>
          <w:sz w:val="24"/>
          <w:szCs w:val="24"/>
          <w:lang w:val="en-US"/>
        </w:rPr>
        <w:t>Open Educational Resources: Innovation, Research and Practice. Vancouver: Commonwealth of Learning and Athabasca University.</w:t>
      </w:r>
      <w:r w:rsidR="000C2B5C" w:rsidRPr="006416ED">
        <w:rPr>
          <w:rFonts w:ascii="Poppins" w:eastAsia="Calibri" w:hAnsi="Poppins" w:cs="Poppins"/>
          <w:color w:val="000000" w:themeColor="text1"/>
          <w:sz w:val="24"/>
          <w:szCs w:val="24"/>
          <w:lang w:val="en-US"/>
        </w:rPr>
        <w:t xml:space="preserve"> Online </w:t>
      </w:r>
      <w:proofErr w:type="spellStart"/>
      <w:r w:rsidR="000C2B5C" w:rsidRPr="006416ED">
        <w:rPr>
          <w:rFonts w:ascii="Poppins" w:eastAsia="Calibri" w:hAnsi="Poppins" w:cs="Poppins"/>
          <w:color w:val="000000" w:themeColor="text1"/>
          <w:sz w:val="24"/>
          <w:szCs w:val="24"/>
          <w:lang w:val="en-US"/>
        </w:rPr>
        <w:t>verfügbar</w:t>
      </w:r>
      <w:proofErr w:type="spellEnd"/>
      <w:r w:rsidR="000C2B5C" w:rsidRPr="006416ED">
        <w:rPr>
          <w:rFonts w:ascii="Poppins" w:eastAsia="Calibri" w:hAnsi="Poppins" w:cs="Poppins"/>
          <w:color w:val="000000" w:themeColor="text1"/>
          <w:sz w:val="24"/>
          <w:szCs w:val="24"/>
          <w:lang w:val="en-US"/>
        </w:rPr>
        <w:t xml:space="preserve"> </w:t>
      </w:r>
      <w:proofErr w:type="spellStart"/>
      <w:r w:rsidR="000C2B5C" w:rsidRPr="006416ED">
        <w:rPr>
          <w:rFonts w:ascii="Poppins" w:eastAsia="Calibri" w:hAnsi="Poppins" w:cs="Poppins"/>
          <w:color w:val="000000" w:themeColor="text1"/>
          <w:sz w:val="24"/>
          <w:szCs w:val="24"/>
          <w:lang w:val="en-US"/>
        </w:rPr>
        <w:t>unter</w:t>
      </w:r>
      <w:proofErr w:type="spellEnd"/>
      <w:r w:rsidR="000C2B5C" w:rsidRPr="006416ED">
        <w:rPr>
          <w:rFonts w:ascii="Poppins" w:eastAsia="Calibri" w:hAnsi="Poppins" w:cs="Poppins"/>
          <w:color w:val="000000" w:themeColor="text1"/>
          <w:sz w:val="24"/>
          <w:szCs w:val="24"/>
          <w:lang w:val="en-US"/>
        </w:rPr>
        <w:t xml:space="preserve">: </w:t>
      </w:r>
      <w:hyperlink r:id="rId34" w:history="1">
        <w:r w:rsidR="000C2B5C" w:rsidRPr="006416ED">
          <w:rPr>
            <w:rStyle w:val="Hyperlink"/>
            <w:rFonts w:ascii="Poppins" w:eastAsia="Calibri" w:hAnsi="Poppins" w:cs="Poppins"/>
            <w:sz w:val="24"/>
            <w:szCs w:val="24"/>
            <w:lang w:val="en-US"/>
          </w:rPr>
          <w:t>https://auspace.athabascau.ca/bitstream/handle/2149/3472/pub_PS_OER-IRP_web.pdf?sequence=1&amp;isAllowed=y</w:t>
        </w:r>
      </w:hyperlink>
      <w:r w:rsidR="000C2B5C" w:rsidRPr="006416ED">
        <w:rPr>
          <w:rFonts w:ascii="Poppins" w:eastAsia="Calibri" w:hAnsi="Poppins" w:cs="Poppins"/>
          <w:color w:val="000000" w:themeColor="text1"/>
          <w:sz w:val="24"/>
          <w:szCs w:val="24"/>
          <w:lang w:val="en-US"/>
        </w:rPr>
        <w:t xml:space="preserve"> [</w:t>
      </w:r>
      <w:r w:rsidR="00790313" w:rsidRPr="006416ED">
        <w:rPr>
          <w:rFonts w:ascii="Poppins" w:eastAsia="Calibri" w:hAnsi="Poppins" w:cs="Poppins"/>
          <w:color w:val="000000" w:themeColor="text1"/>
          <w:sz w:val="24"/>
          <w:szCs w:val="24"/>
          <w:lang w:val="en-US"/>
        </w:rPr>
        <w:t>12</w:t>
      </w:r>
      <w:r w:rsidR="000C2B5C" w:rsidRPr="006416ED">
        <w:rPr>
          <w:rFonts w:ascii="Poppins" w:eastAsia="Calibri" w:hAnsi="Poppins" w:cs="Poppins"/>
          <w:color w:val="000000" w:themeColor="text1"/>
          <w:sz w:val="24"/>
          <w:szCs w:val="24"/>
          <w:lang w:val="en-US"/>
        </w:rPr>
        <w:t>.09.2024].</w:t>
      </w:r>
    </w:p>
    <w:p w14:paraId="4F9A3A2B" w14:textId="1821801D" w:rsidR="002259A9" w:rsidRPr="00D1021A" w:rsidRDefault="002259A9" w:rsidP="002259A9">
      <w:pPr>
        <w:spacing w:before="240" w:line="360" w:lineRule="auto"/>
        <w:ind w:left="-20" w:right="-20"/>
        <w:rPr>
          <w:rFonts w:ascii="Poppins" w:hAnsi="Poppins" w:cs="Poppins"/>
          <w:sz w:val="24"/>
          <w:szCs w:val="24"/>
        </w:rPr>
      </w:pPr>
      <w:proofErr w:type="spellStart"/>
      <w:r w:rsidRPr="00D1021A">
        <w:rPr>
          <w:rFonts w:ascii="Poppins" w:hAnsi="Poppins" w:cs="Poppins"/>
          <w:b/>
          <w:bCs/>
          <w:sz w:val="24"/>
          <w:szCs w:val="24"/>
        </w:rPr>
        <w:t>Mayrberger</w:t>
      </w:r>
      <w:proofErr w:type="spellEnd"/>
      <w:r w:rsidRPr="00D1021A">
        <w:rPr>
          <w:rFonts w:ascii="Poppins" w:hAnsi="Poppins" w:cs="Poppins"/>
          <w:b/>
          <w:bCs/>
          <w:sz w:val="24"/>
          <w:szCs w:val="24"/>
        </w:rPr>
        <w:t xml:space="preserve">, K., </w:t>
      </w:r>
      <w:proofErr w:type="spellStart"/>
      <w:r w:rsidRPr="00D1021A">
        <w:rPr>
          <w:rFonts w:ascii="Poppins" w:hAnsi="Poppins" w:cs="Poppins"/>
          <w:b/>
          <w:bCs/>
          <w:sz w:val="24"/>
          <w:szCs w:val="24"/>
        </w:rPr>
        <w:t>Zawacki</w:t>
      </w:r>
      <w:proofErr w:type="spellEnd"/>
      <w:r w:rsidRPr="00D1021A">
        <w:rPr>
          <w:rFonts w:ascii="Poppins" w:hAnsi="Poppins" w:cs="Poppins"/>
          <w:b/>
          <w:bCs/>
          <w:sz w:val="24"/>
          <w:szCs w:val="24"/>
        </w:rPr>
        <w:t xml:space="preserve">-Richter, O., &amp; </w:t>
      </w:r>
      <w:proofErr w:type="spellStart"/>
      <w:r w:rsidRPr="00D1021A">
        <w:rPr>
          <w:rFonts w:ascii="Poppins" w:hAnsi="Poppins" w:cs="Poppins"/>
          <w:b/>
          <w:bCs/>
          <w:sz w:val="24"/>
          <w:szCs w:val="24"/>
        </w:rPr>
        <w:t>Müskens</w:t>
      </w:r>
      <w:proofErr w:type="spellEnd"/>
      <w:r w:rsidRPr="00D1021A">
        <w:rPr>
          <w:rFonts w:ascii="Poppins" w:hAnsi="Poppins" w:cs="Poppins"/>
          <w:b/>
          <w:bCs/>
          <w:sz w:val="24"/>
          <w:szCs w:val="24"/>
        </w:rPr>
        <w:t>, W. (2018).</w:t>
      </w:r>
      <w:r w:rsidRPr="00D1021A">
        <w:rPr>
          <w:rFonts w:ascii="Poppins" w:hAnsi="Poppins" w:cs="Poppins"/>
          <w:sz w:val="24"/>
          <w:szCs w:val="24"/>
        </w:rPr>
        <w:t xml:space="preserve"> Qualitätsentwicklung von OER: Vorschlag zur Erstellung eines Qualitätssicherungsinstruments für OER am Beispiel der Hamburg Open </w:t>
      </w:r>
      <w:r w:rsidRPr="00790313">
        <w:rPr>
          <w:rFonts w:ascii="Poppins" w:hAnsi="Poppins" w:cs="Poppins"/>
          <w:sz w:val="24"/>
          <w:szCs w:val="24"/>
        </w:rPr>
        <w:t>Online University (1. Auflage.). Universität Hamburg.</w:t>
      </w:r>
      <w:r w:rsidR="000518E0" w:rsidRPr="00790313">
        <w:rPr>
          <w:rFonts w:ascii="Poppins" w:hAnsi="Poppins" w:cs="Poppins"/>
          <w:sz w:val="24"/>
          <w:szCs w:val="24"/>
        </w:rPr>
        <w:t xml:space="preserve"> </w:t>
      </w:r>
      <w:r w:rsidRPr="00790313">
        <w:rPr>
          <w:rFonts w:ascii="Poppins" w:hAnsi="Poppins" w:cs="Poppins"/>
          <w:sz w:val="24"/>
          <w:szCs w:val="24"/>
        </w:rPr>
        <w:t xml:space="preserve">Online verfügbar unter: </w:t>
      </w:r>
      <w:hyperlink r:id="rId35" w:history="1">
        <w:r w:rsidR="00790313" w:rsidRPr="00790313">
          <w:rPr>
            <w:rStyle w:val="Hyperlink"/>
            <w:rFonts w:ascii="Poppins" w:hAnsi="Poppins" w:cs="Poppins"/>
            <w:sz w:val="24"/>
            <w:szCs w:val="24"/>
          </w:rPr>
          <w:t>https://www.synergie.uni-hamburg.de/media/sonderbaende/qualitaetsentwicklung-von-oer-2018.pdf</w:t>
        </w:r>
      </w:hyperlink>
      <w:r w:rsidR="00790313" w:rsidRPr="00D1021A">
        <w:rPr>
          <w:rFonts w:ascii="Poppins" w:hAnsi="Poppins" w:cs="Poppins"/>
          <w:sz w:val="24"/>
          <w:szCs w:val="24"/>
        </w:rPr>
        <w:t xml:space="preserve"> </w:t>
      </w:r>
      <w:r w:rsidR="000C2B5C" w:rsidRPr="00D1021A">
        <w:rPr>
          <w:rFonts w:ascii="Poppins" w:hAnsi="Poppins" w:cs="Poppins"/>
          <w:sz w:val="24"/>
          <w:szCs w:val="24"/>
        </w:rPr>
        <w:t>[</w:t>
      </w:r>
      <w:r w:rsidR="00790313">
        <w:rPr>
          <w:rFonts w:ascii="Poppins" w:hAnsi="Poppins" w:cs="Poppins"/>
          <w:sz w:val="24"/>
          <w:szCs w:val="24"/>
        </w:rPr>
        <w:t>12</w:t>
      </w:r>
      <w:r w:rsidR="000C2B5C" w:rsidRPr="00D1021A">
        <w:rPr>
          <w:rFonts w:ascii="Poppins" w:hAnsi="Poppins" w:cs="Poppins"/>
          <w:sz w:val="24"/>
          <w:szCs w:val="24"/>
        </w:rPr>
        <w:t>.09.2024].</w:t>
      </w:r>
    </w:p>
    <w:p w14:paraId="74A2F91E" w14:textId="1D1CD195" w:rsidR="0040385C" w:rsidRPr="006416ED" w:rsidRDefault="00046E90" w:rsidP="009B614E">
      <w:pPr>
        <w:spacing w:before="240" w:line="360" w:lineRule="auto"/>
        <w:ind w:left="-20" w:right="-20"/>
        <w:rPr>
          <w:rFonts w:ascii="Poppins" w:hAnsi="Poppins" w:cs="Poppins"/>
          <w:sz w:val="24"/>
          <w:szCs w:val="24"/>
          <w:lang w:val="en-US"/>
        </w:rPr>
      </w:pPr>
      <w:r w:rsidRPr="00D1021A">
        <w:rPr>
          <w:rFonts w:ascii="Poppins" w:hAnsi="Poppins" w:cs="Poppins"/>
          <w:b/>
          <w:bCs/>
          <w:sz w:val="24"/>
          <w:szCs w:val="24"/>
        </w:rPr>
        <w:t>Meier, F. &amp; Schimank, U. (2009).</w:t>
      </w:r>
      <w:r w:rsidRPr="00D1021A">
        <w:rPr>
          <w:rFonts w:ascii="Poppins" w:hAnsi="Poppins" w:cs="Poppins"/>
          <w:sz w:val="24"/>
          <w:szCs w:val="24"/>
        </w:rPr>
        <w:t xml:space="preserve"> Matthäus schlägt Humboldt? New Public Management und die Einheit von Forschung und Lehre. </w:t>
      </w:r>
      <w:proofErr w:type="spellStart"/>
      <w:r w:rsidRPr="006416ED">
        <w:rPr>
          <w:rFonts w:ascii="Poppins" w:hAnsi="Poppins" w:cs="Poppins"/>
          <w:sz w:val="24"/>
          <w:szCs w:val="24"/>
          <w:lang w:val="en-US"/>
        </w:rPr>
        <w:t>Beiträge</w:t>
      </w:r>
      <w:proofErr w:type="spellEnd"/>
      <w:r w:rsidRPr="006416ED">
        <w:rPr>
          <w:rFonts w:ascii="Poppins" w:hAnsi="Poppins" w:cs="Poppins"/>
          <w:sz w:val="24"/>
          <w:szCs w:val="24"/>
          <w:lang w:val="en-US"/>
        </w:rPr>
        <w:t xml:space="preserve"> </w:t>
      </w:r>
      <w:proofErr w:type="spellStart"/>
      <w:r w:rsidRPr="006416ED">
        <w:rPr>
          <w:rFonts w:ascii="Poppins" w:hAnsi="Poppins" w:cs="Poppins"/>
          <w:sz w:val="24"/>
          <w:szCs w:val="24"/>
          <w:lang w:val="en-US"/>
        </w:rPr>
        <w:t>zur</w:t>
      </w:r>
      <w:proofErr w:type="spellEnd"/>
      <w:r w:rsidRPr="006416ED">
        <w:rPr>
          <w:rFonts w:ascii="Poppins" w:hAnsi="Poppins" w:cs="Poppins"/>
          <w:sz w:val="24"/>
          <w:szCs w:val="24"/>
          <w:lang w:val="en-US"/>
        </w:rPr>
        <w:t xml:space="preserve"> </w:t>
      </w:r>
      <w:proofErr w:type="spellStart"/>
      <w:r w:rsidRPr="006416ED">
        <w:rPr>
          <w:rFonts w:ascii="Poppins" w:hAnsi="Poppins" w:cs="Poppins"/>
          <w:sz w:val="24"/>
          <w:szCs w:val="24"/>
          <w:lang w:val="en-US"/>
        </w:rPr>
        <w:t>Hochschulforschung</w:t>
      </w:r>
      <w:proofErr w:type="spellEnd"/>
      <w:r w:rsidRPr="006416ED">
        <w:rPr>
          <w:rFonts w:ascii="Poppins" w:hAnsi="Poppins" w:cs="Poppins"/>
          <w:sz w:val="24"/>
          <w:szCs w:val="24"/>
          <w:lang w:val="en-US"/>
        </w:rPr>
        <w:t>, 31(1), 42-61.</w:t>
      </w:r>
    </w:p>
    <w:p w14:paraId="2B3BDE86" w14:textId="15A5EA28" w:rsidR="0040385C" w:rsidRPr="006416ED" w:rsidRDefault="00046E90" w:rsidP="009B614E">
      <w:pPr>
        <w:spacing w:before="240" w:line="360" w:lineRule="auto"/>
        <w:ind w:left="-20" w:right="-20"/>
        <w:rPr>
          <w:rStyle w:val="Hyperlink"/>
          <w:rFonts w:ascii="Poppins" w:eastAsia="Calibri" w:hAnsi="Poppins" w:cs="Poppins"/>
          <w:color w:val="auto"/>
          <w:sz w:val="24"/>
          <w:szCs w:val="24"/>
          <w:lang w:val="en-US"/>
        </w:rPr>
      </w:pPr>
      <w:r w:rsidRPr="006416ED">
        <w:rPr>
          <w:rFonts w:ascii="Poppins" w:eastAsia="Calibri" w:hAnsi="Poppins" w:cs="Poppins"/>
          <w:b/>
          <w:bCs/>
          <w:sz w:val="24"/>
          <w:szCs w:val="24"/>
          <w:lang w:val="en-US"/>
        </w:rPr>
        <w:t>Mishra, S. &amp; Misra, P. K. (2022).</w:t>
      </w:r>
      <w:r w:rsidRPr="006416ED">
        <w:rPr>
          <w:rFonts w:ascii="Poppins" w:eastAsia="Calibri" w:hAnsi="Poppins" w:cs="Poppins"/>
          <w:sz w:val="24"/>
          <w:szCs w:val="24"/>
          <w:lang w:val="en-US"/>
        </w:rPr>
        <w:t xml:space="preserve"> Open, Distance, and Digital Non-formal Education in Developing Countries. In: O. Zawacki-Richter, I. Jung (eds.), Handbook of Open, Distance and Digital Education</w:t>
      </w:r>
      <w:r w:rsidR="004D2467" w:rsidRPr="006416ED">
        <w:rPr>
          <w:rFonts w:ascii="Poppins" w:eastAsia="Calibri" w:hAnsi="Poppins" w:cs="Poppins"/>
          <w:sz w:val="24"/>
          <w:szCs w:val="24"/>
          <w:lang w:val="en-US"/>
        </w:rPr>
        <w:t>.</w:t>
      </w:r>
    </w:p>
    <w:p w14:paraId="32D48070" w14:textId="77777777" w:rsidR="0040385C" w:rsidRPr="006416ED" w:rsidRDefault="00046E90" w:rsidP="009B614E">
      <w:pPr>
        <w:spacing w:before="240" w:line="360" w:lineRule="auto"/>
        <w:ind w:left="-20" w:right="-20"/>
        <w:rPr>
          <w:rFonts w:ascii="Poppins" w:hAnsi="Poppins" w:cs="Poppins"/>
          <w:sz w:val="24"/>
          <w:szCs w:val="24"/>
          <w:lang w:val="en-US"/>
        </w:rPr>
      </w:pPr>
      <w:r w:rsidRPr="00D1021A">
        <w:rPr>
          <w:rFonts w:ascii="Poppins" w:hAnsi="Poppins" w:cs="Poppins"/>
          <w:b/>
          <w:bCs/>
          <w:sz w:val="24"/>
          <w:szCs w:val="24"/>
        </w:rPr>
        <w:lastRenderedPageBreak/>
        <w:t xml:space="preserve">Mitterauer, L.; </w:t>
      </w:r>
      <w:proofErr w:type="spellStart"/>
      <w:r w:rsidRPr="00D1021A">
        <w:rPr>
          <w:rFonts w:ascii="Poppins" w:hAnsi="Poppins" w:cs="Poppins"/>
          <w:b/>
          <w:bCs/>
          <w:sz w:val="24"/>
          <w:szCs w:val="24"/>
        </w:rPr>
        <w:t>Pohlenz</w:t>
      </w:r>
      <w:proofErr w:type="spellEnd"/>
      <w:r w:rsidRPr="00D1021A">
        <w:rPr>
          <w:rFonts w:ascii="Poppins" w:hAnsi="Poppins" w:cs="Poppins"/>
          <w:b/>
          <w:bCs/>
          <w:sz w:val="24"/>
          <w:szCs w:val="24"/>
        </w:rPr>
        <w:t>, P. &amp; Harris-</w:t>
      </w:r>
      <w:proofErr w:type="spellStart"/>
      <w:r w:rsidRPr="00D1021A">
        <w:rPr>
          <w:rFonts w:ascii="Poppins" w:hAnsi="Poppins" w:cs="Poppins"/>
          <w:b/>
          <w:bCs/>
          <w:sz w:val="24"/>
          <w:szCs w:val="24"/>
        </w:rPr>
        <w:t>Huemmert</w:t>
      </w:r>
      <w:proofErr w:type="spellEnd"/>
      <w:r w:rsidRPr="00D1021A">
        <w:rPr>
          <w:rFonts w:ascii="Poppins" w:hAnsi="Poppins" w:cs="Poppins"/>
          <w:b/>
          <w:bCs/>
          <w:sz w:val="24"/>
          <w:szCs w:val="24"/>
        </w:rPr>
        <w:t>, S. (Eds.). (2019).</w:t>
      </w:r>
      <w:r w:rsidRPr="00D1021A">
        <w:rPr>
          <w:rFonts w:ascii="Poppins" w:hAnsi="Poppins" w:cs="Poppins"/>
          <w:sz w:val="24"/>
          <w:szCs w:val="24"/>
        </w:rPr>
        <w:t xml:space="preserve"> Systeme im Wandel: Hochschulen auf neuen Wegen. </w:t>
      </w:r>
      <w:proofErr w:type="spellStart"/>
      <w:r w:rsidRPr="006416ED">
        <w:rPr>
          <w:rFonts w:ascii="Poppins" w:hAnsi="Poppins" w:cs="Poppins"/>
          <w:sz w:val="24"/>
          <w:szCs w:val="24"/>
          <w:lang w:val="en-US"/>
        </w:rPr>
        <w:t>Waxmann</w:t>
      </w:r>
      <w:proofErr w:type="spellEnd"/>
      <w:r w:rsidRPr="006416ED">
        <w:rPr>
          <w:rFonts w:ascii="Poppins" w:hAnsi="Poppins" w:cs="Poppins"/>
          <w:sz w:val="24"/>
          <w:szCs w:val="24"/>
          <w:lang w:val="en-US"/>
        </w:rPr>
        <w:t xml:space="preserve"> Verlag.</w:t>
      </w:r>
    </w:p>
    <w:p w14:paraId="139A386C" w14:textId="337879C4" w:rsidR="00902492" w:rsidRPr="00D1021A" w:rsidRDefault="00902492" w:rsidP="009B614E">
      <w:pPr>
        <w:spacing w:before="240" w:line="360" w:lineRule="auto"/>
        <w:ind w:left="-20" w:right="-20"/>
        <w:rPr>
          <w:rFonts w:ascii="Poppins" w:hAnsi="Poppins" w:cs="Poppins"/>
          <w:sz w:val="24"/>
          <w:szCs w:val="24"/>
        </w:rPr>
      </w:pPr>
      <w:r w:rsidRPr="006416ED">
        <w:rPr>
          <w:rFonts w:ascii="Poppins" w:hAnsi="Poppins" w:cs="Poppins"/>
          <w:b/>
          <w:bCs/>
          <w:sz w:val="24"/>
          <w:szCs w:val="24"/>
          <w:lang w:val="en-US"/>
        </w:rPr>
        <w:t>Moen, R., &amp; Norman, C. (2009).</w:t>
      </w:r>
      <w:r w:rsidRPr="006416ED">
        <w:rPr>
          <w:rFonts w:ascii="Poppins" w:hAnsi="Poppins" w:cs="Poppins"/>
          <w:sz w:val="24"/>
          <w:szCs w:val="24"/>
          <w:lang w:val="en-US"/>
        </w:rPr>
        <w:t xml:space="preserve"> Evolution of the PDCA cycle. In Proceedings of the 7th ANQ Congress, Tokyo, 2009.</w:t>
      </w:r>
      <w:r w:rsidR="004D2467" w:rsidRPr="006416ED">
        <w:rPr>
          <w:rFonts w:ascii="Poppins" w:hAnsi="Poppins" w:cs="Poppins"/>
          <w:sz w:val="24"/>
          <w:szCs w:val="24"/>
          <w:lang w:val="en-US"/>
        </w:rPr>
        <w:t xml:space="preserve"> </w:t>
      </w:r>
      <w:r w:rsidR="004D2467" w:rsidRPr="00D1021A">
        <w:rPr>
          <w:rFonts w:ascii="Poppins" w:hAnsi="Poppins" w:cs="Poppins"/>
          <w:sz w:val="24"/>
          <w:szCs w:val="24"/>
        </w:rPr>
        <w:t xml:space="preserve">Online verfügbar unter: </w:t>
      </w:r>
      <w:hyperlink r:id="rId36" w:history="1">
        <w:r w:rsidR="004D2467" w:rsidRPr="00D1021A">
          <w:rPr>
            <w:rStyle w:val="Hyperlink"/>
            <w:rFonts w:ascii="Poppins" w:hAnsi="Poppins" w:cs="Poppins"/>
            <w:sz w:val="24"/>
            <w:szCs w:val="24"/>
          </w:rPr>
          <w:t>https://elfhs.ssru.ac.th/phusit_ph/pluginfile.php/48/block_html/content/Moen-Norman-2009%20PDCA.pdf</w:t>
        </w:r>
      </w:hyperlink>
      <w:r w:rsidR="004D2467" w:rsidRPr="00D1021A">
        <w:rPr>
          <w:rFonts w:ascii="Poppins" w:hAnsi="Poppins" w:cs="Poppins"/>
          <w:sz w:val="24"/>
          <w:szCs w:val="24"/>
        </w:rPr>
        <w:t xml:space="preserve"> [</w:t>
      </w:r>
      <w:r w:rsidR="00790313">
        <w:rPr>
          <w:rFonts w:ascii="Poppins" w:hAnsi="Poppins" w:cs="Poppins"/>
          <w:sz w:val="24"/>
          <w:szCs w:val="24"/>
        </w:rPr>
        <w:t>12</w:t>
      </w:r>
      <w:r w:rsidR="004D2467" w:rsidRPr="00D1021A">
        <w:rPr>
          <w:rFonts w:ascii="Poppins" w:hAnsi="Poppins" w:cs="Poppins"/>
          <w:sz w:val="24"/>
          <w:szCs w:val="24"/>
        </w:rPr>
        <w:t>.09.2024]</w:t>
      </w:r>
      <w:r w:rsidR="000C2B5C" w:rsidRPr="00D1021A">
        <w:rPr>
          <w:rFonts w:ascii="Poppins" w:hAnsi="Poppins" w:cs="Poppins"/>
          <w:sz w:val="24"/>
          <w:szCs w:val="24"/>
        </w:rPr>
        <w:t>.</w:t>
      </w:r>
    </w:p>
    <w:p w14:paraId="563F594E" w14:textId="73D07BC8" w:rsidR="00580289" w:rsidRPr="00D1021A" w:rsidRDefault="00580289" w:rsidP="00580289">
      <w:pPr>
        <w:spacing w:after="0" w:line="360" w:lineRule="auto"/>
        <w:rPr>
          <w:rFonts w:ascii="Poppins" w:hAnsi="Poppins" w:cs="Poppins"/>
          <w:sz w:val="24"/>
          <w:szCs w:val="24"/>
        </w:rPr>
      </w:pPr>
      <w:r w:rsidRPr="00D1021A">
        <w:rPr>
          <w:rFonts w:ascii="Poppins" w:eastAsia="Times New Roman" w:hAnsi="Poppins" w:cs="Poppins"/>
          <w:b/>
          <w:bCs/>
          <w:sz w:val="24"/>
          <w:szCs w:val="24"/>
          <w:lang w:eastAsia="de-DE"/>
        </w:rPr>
        <w:t>Mollenhauer, L. (2023).</w:t>
      </w:r>
      <w:r w:rsidRPr="00D1021A">
        <w:rPr>
          <w:rFonts w:ascii="Poppins" w:eastAsia="Times New Roman" w:hAnsi="Poppins" w:cs="Poppins"/>
          <w:sz w:val="24"/>
          <w:szCs w:val="24"/>
          <w:lang w:eastAsia="de-DE"/>
        </w:rPr>
        <w:t xml:space="preserve"> </w:t>
      </w:r>
      <w:r w:rsidRPr="00D1021A">
        <w:rPr>
          <w:rFonts w:ascii="Poppins" w:hAnsi="Poppins" w:cs="Poppins"/>
          <w:sz w:val="24"/>
          <w:szCs w:val="24"/>
        </w:rPr>
        <w:t xml:space="preserve">Durch den Urheberrechtsdschungel in der Unterrichtsvorbereitung. </w:t>
      </w:r>
      <w:r w:rsidR="00254BB9" w:rsidRPr="00D1021A">
        <w:rPr>
          <w:rFonts w:ascii="Poppins" w:eastAsia="Calibri" w:hAnsi="Poppins" w:cs="Poppins"/>
          <w:color w:val="000000" w:themeColor="text1"/>
          <w:sz w:val="24"/>
          <w:szCs w:val="24"/>
        </w:rPr>
        <w:t xml:space="preserve">Bundeszentrale für politische Bildung (bpb). </w:t>
      </w:r>
      <w:r w:rsidRPr="00D1021A">
        <w:rPr>
          <w:rFonts w:ascii="Poppins" w:hAnsi="Poppins" w:cs="Poppins"/>
          <w:sz w:val="24"/>
          <w:szCs w:val="24"/>
        </w:rPr>
        <w:t>Online verfügbar unter</w:t>
      </w:r>
      <w:r w:rsidRPr="00D1021A">
        <w:rPr>
          <w:rFonts w:ascii="Poppins" w:hAnsi="Poppins" w:cs="Poppins"/>
          <w:spacing w:val="-15"/>
          <w:sz w:val="24"/>
          <w:szCs w:val="24"/>
        </w:rPr>
        <w:t xml:space="preserve">: </w:t>
      </w:r>
      <w:hyperlink r:id="rId37" w:history="1">
        <w:r w:rsidRPr="00D1021A">
          <w:rPr>
            <w:rStyle w:val="Hyperlink"/>
            <w:rFonts w:ascii="Poppins" w:hAnsi="Poppins" w:cs="Poppins"/>
            <w:sz w:val="24"/>
            <w:szCs w:val="24"/>
          </w:rPr>
          <w:t>https://www.bpb.de/lernen/digitale-bildung/werkstatt/539162/durch-den-urheberrechtsdschungel-in-der-unterrichtsvorbereitung/</w:t>
        </w:r>
      </w:hyperlink>
      <w:r w:rsidRPr="00D1021A">
        <w:rPr>
          <w:rFonts w:ascii="Poppins" w:hAnsi="Poppins" w:cs="Poppins"/>
          <w:sz w:val="24"/>
          <w:szCs w:val="24"/>
        </w:rPr>
        <w:t xml:space="preserve"> [</w:t>
      </w:r>
      <w:r w:rsidR="00790313">
        <w:rPr>
          <w:rFonts w:ascii="Poppins" w:hAnsi="Poppins" w:cs="Poppins"/>
          <w:sz w:val="24"/>
          <w:szCs w:val="24"/>
        </w:rPr>
        <w:t>12</w:t>
      </w:r>
      <w:r w:rsidRPr="00D1021A">
        <w:rPr>
          <w:rFonts w:ascii="Poppins" w:hAnsi="Poppins" w:cs="Poppins"/>
          <w:sz w:val="24"/>
          <w:szCs w:val="24"/>
        </w:rPr>
        <w:t>.0</w:t>
      </w:r>
      <w:r w:rsidR="00790313">
        <w:rPr>
          <w:rFonts w:ascii="Poppins" w:hAnsi="Poppins" w:cs="Poppins"/>
          <w:sz w:val="24"/>
          <w:szCs w:val="24"/>
        </w:rPr>
        <w:t>9</w:t>
      </w:r>
      <w:r w:rsidRPr="00D1021A">
        <w:rPr>
          <w:rFonts w:ascii="Poppins" w:hAnsi="Poppins" w:cs="Poppins"/>
          <w:sz w:val="24"/>
          <w:szCs w:val="24"/>
        </w:rPr>
        <w:t>.24].</w:t>
      </w:r>
    </w:p>
    <w:p w14:paraId="1D5026A6" w14:textId="7B13F151" w:rsidR="0040385C" w:rsidRPr="00D1021A" w:rsidRDefault="00046E90" w:rsidP="009B614E">
      <w:pPr>
        <w:spacing w:before="240" w:line="360" w:lineRule="auto"/>
        <w:ind w:left="-20" w:right="-20"/>
        <w:rPr>
          <w:rFonts w:ascii="Poppins" w:hAnsi="Poppins" w:cs="Poppins"/>
          <w:sz w:val="24"/>
          <w:szCs w:val="24"/>
        </w:rPr>
      </w:pPr>
      <w:proofErr w:type="spellStart"/>
      <w:r w:rsidRPr="00D1021A">
        <w:rPr>
          <w:rFonts w:ascii="Poppins" w:hAnsi="Poppins" w:cs="Poppins"/>
          <w:b/>
          <w:bCs/>
          <w:sz w:val="24"/>
          <w:szCs w:val="24"/>
        </w:rPr>
        <w:t>Motakef</w:t>
      </w:r>
      <w:proofErr w:type="spellEnd"/>
      <w:r w:rsidRPr="00D1021A">
        <w:rPr>
          <w:rFonts w:ascii="Poppins" w:hAnsi="Poppins" w:cs="Poppins"/>
          <w:b/>
          <w:bCs/>
          <w:sz w:val="24"/>
          <w:szCs w:val="24"/>
        </w:rPr>
        <w:t>, M. (2006).</w:t>
      </w:r>
      <w:r w:rsidRPr="00D1021A">
        <w:rPr>
          <w:rFonts w:ascii="Poppins" w:hAnsi="Poppins" w:cs="Poppins"/>
          <w:sz w:val="24"/>
          <w:szCs w:val="24"/>
        </w:rPr>
        <w:t xml:space="preserve"> Das Menschenrecht auf Bildung und der Schutz vor Diskriminierung: Exklusionsrisiken und Inklusionschancen (p. 52). DEU.</w:t>
      </w:r>
      <w:r w:rsidR="004D2467" w:rsidRPr="00D1021A">
        <w:rPr>
          <w:rFonts w:ascii="Poppins" w:hAnsi="Poppins" w:cs="Poppins"/>
          <w:sz w:val="24"/>
          <w:szCs w:val="24"/>
        </w:rPr>
        <w:t xml:space="preserve"> Online verfügbar unter: </w:t>
      </w:r>
      <w:hyperlink r:id="rId38" w:history="1">
        <w:r w:rsidR="00790313" w:rsidRPr="00426F95">
          <w:rPr>
            <w:rStyle w:val="Hyperlink"/>
            <w:rFonts w:ascii="Poppins" w:hAnsi="Poppins" w:cs="Poppins"/>
            <w:sz w:val="24"/>
            <w:szCs w:val="24"/>
          </w:rPr>
          <w:t>https://nbn-resolving.org/urn:nbn:de:0168-ssoar-316850</w:t>
        </w:r>
      </w:hyperlink>
      <w:r w:rsidR="00790313">
        <w:rPr>
          <w:rFonts w:ascii="Poppins" w:hAnsi="Poppins" w:cs="Poppins"/>
          <w:sz w:val="24"/>
          <w:szCs w:val="24"/>
        </w:rPr>
        <w:t xml:space="preserve"> </w:t>
      </w:r>
      <w:r w:rsidR="004D2467" w:rsidRPr="00D1021A">
        <w:rPr>
          <w:rFonts w:ascii="Poppins" w:hAnsi="Poppins" w:cs="Poppins"/>
          <w:sz w:val="24"/>
          <w:szCs w:val="24"/>
        </w:rPr>
        <w:t>[</w:t>
      </w:r>
      <w:r w:rsidR="00790313">
        <w:rPr>
          <w:rFonts w:ascii="Poppins" w:hAnsi="Poppins" w:cs="Poppins"/>
          <w:sz w:val="24"/>
          <w:szCs w:val="24"/>
        </w:rPr>
        <w:t>12</w:t>
      </w:r>
      <w:r w:rsidR="004D2467" w:rsidRPr="00D1021A">
        <w:rPr>
          <w:rFonts w:ascii="Poppins" w:hAnsi="Poppins" w:cs="Poppins"/>
          <w:sz w:val="24"/>
          <w:szCs w:val="24"/>
        </w:rPr>
        <w:t>.09.2024]</w:t>
      </w:r>
      <w:r w:rsidR="000C2B5C" w:rsidRPr="00D1021A">
        <w:rPr>
          <w:rFonts w:ascii="Poppins" w:hAnsi="Poppins" w:cs="Poppins"/>
          <w:sz w:val="24"/>
          <w:szCs w:val="24"/>
        </w:rPr>
        <w:t>.</w:t>
      </w:r>
    </w:p>
    <w:p w14:paraId="6BBD4A11" w14:textId="4D87AA4D" w:rsidR="00582705" w:rsidRPr="006416ED" w:rsidRDefault="00582705" w:rsidP="00582705">
      <w:pPr>
        <w:spacing w:before="240" w:line="360" w:lineRule="auto"/>
        <w:ind w:left="-20" w:right="-20"/>
        <w:rPr>
          <w:rFonts w:ascii="Poppins" w:hAnsi="Poppins" w:cs="Poppins"/>
          <w:sz w:val="24"/>
          <w:szCs w:val="24"/>
          <w:lang w:val="en-US"/>
        </w:rPr>
      </w:pPr>
      <w:r w:rsidRPr="00D1021A">
        <w:rPr>
          <w:rFonts w:ascii="Poppins" w:hAnsi="Poppins" w:cs="Poppins"/>
          <w:b/>
          <w:bCs/>
          <w:sz w:val="24"/>
          <w:szCs w:val="24"/>
        </w:rPr>
        <w:t>Müller, W. (201</w:t>
      </w:r>
      <w:r w:rsidR="008B1F0B">
        <w:rPr>
          <w:rFonts w:ascii="Poppins" w:hAnsi="Poppins" w:cs="Poppins"/>
          <w:b/>
          <w:bCs/>
          <w:sz w:val="24"/>
          <w:szCs w:val="24"/>
        </w:rPr>
        <w:t>5</w:t>
      </w:r>
      <w:r w:rsidRPr="00D1021A">
        <w:rPr>
          <w:rFonts w:ascii="Poppins" w:hAnsi="Poppins" w:cs="Poppins"/>
          <w:b/>
          <w:bCs/>
          <w:sz w:val="24"/>
          <w:szCs w:val="24"/>
        </w:rPr>
        <w:t>).</w:t>
      </w:r>
      <w:r w:rsidRPr="00D1021A">
        <w:rPr>
          <w:rFonts w:ascii="Poppins" w:hAnsi="Poppins" w:cs="Poppins"/>
          <w:sz w:val="24"/>
          <w:szCs w:val="24"/>
        </w:rPr>
        <w:t xml:space="preserve"> Vom „Durchwurschteln “zur kontinuierlichen Verbesserung?</w:t>
      </w:r>
      <w:r w:rsidR="000518E0" w:rsidRPr="00D1021A">
        <w:rPr>
          <w:rFonts w:ascii="Poppins" w:hAnsi="Poppins" w:cs="Poppins"/>
          <w:sz w:val="24"/>
          <w:szCs w:val="24"/>
        </w:rPr>
        <w:t xml:space="preserve"> </w:t>
      </w:r>
      <w:r w:rsidRPr="00D1021A">
        <w:rPr>
          <w:rFonts w:ascii="Poppins" w:hAnsi="Poppins" w:cs="Poppins"/>
          <w:sz w:val="24"/>
          <w:szCs w:val="24"/>
        </w:rPr>
        <w:t>–</w:t>
      </w:r>
      <w:r w:rsidR="000518E0" w:rsidRPr="00D1021A">
        <w:rPr>
          <w:rFonts w:ascii="Poppins" w:hAnsi="Poppins" w:cs="Poppins"/>
          <w:sz w:val="24"/>
          <w:szCs w:val="24"/>
        </w:rPr>
        <w:t xml:space="preserve"> </w:t>
      </w:r>
      <w:r w:rsidRPr="00D1021A">
        <w:rPr>
          <w:rFonts w:ascii="Poppins" w:hAnsi="Poppins" w:cs="Poppins"/>
          <w:sz w:val="24"/>
          <w:szCs w:val="24"/>
        </w:rPr>
        <w:t>Akteurskonstellationen deutscher Universitäten bei Innovationsprozessen von Lehre</w:t>
      </w:r>
      <w:r w:rsidR="008B1F0B">
        <w:rPr>
          <w:rFonts w:ascii="Poppins" w:hAnsi="Poppins" w:cs="Poppins"/>
          <w:sz w:val="24"/>
          <w:szCs w:val="24"/>
        </w:rPr>
        <w:t xml:space="preserve"> und Studium. </w:t>
      </w:r>
      <w:r w:rsidR="008B1F0B" w:rsidRPr="006416ED">
        <w:rPr>
          <w:rFonts w:ascii="Poppins" w:hAnsi="Poppins" w:cs="Poppins"/>
          <w:sz w:val="24"/>
          <w:szCs w:val="24"/>
          <w:lang w:val="en-US"/>
        </w:rPr>
        <w:t xml:space="preserve">DOI: </w:t>
      </w:r>
      <w:r w:rsidR="008B1F0B">
        <w:fldChar w:fldCharType="begin"/>
      </w:r>
      <w:r w:rsidR="008B1F0B" w:rsidRPr="00EE0B07">
        <w:rPr>
          <w:lang w:val="en-US"/>
        </w:rPr>
        <w:instrText>HYPERLINK "https://doi.org/10.1007/978-3-658-12067-2_12"</w:instrText>
      </w:r>
      <w:r w:rsidR="008B1F0B">
        <w:fldChar w:fldCharType="separate"/>
      </w:r>
      <w:r w:rsidR="008B1F0B" w:rsidRPr="006416ED">
        <w:rPr>
          <w:rStyle w:val="Hyperlink"/>
          <w:rFonts w:ascii="Poppins" w:hAnsi="Poppins" w:cs="Poppins"/>
          <w:sz w:val="24"/>
          <w:szCs w:val="24"/>
          <w:lang w:val="en-US"/>
        </w:rPr>
        <w:t>https://doi.org/10.1007/978-3-658-12067-2_12</w:t>
      </w:r>
      <w:r w:rsidR="008B1F0B">
        <w:rPr>
          <w:rStyle w:val="Hyperlink"/>
          <w:rFonts w:ascii="Poppins" w:hAnsi="Poppins" w:cs="Poppins"/>
          <w:sz w:val="24"/>
          <w:szCs w:val="24"/>
          <w:lang w:val="en-US"/>
        </w:rPr>
        <w:fldChar w:fldCharType="end"/>
      </w:r>
      <w:r w:rsidR="008B1F0B" w:rsidRPr="006416ED">
        <w:rPr>
          <w:rFonts w:ascii="Poppins" w:hAnsi="Poppins" w:cs="Poppins"/>
          <w:sz w:val="24"/>
          <w:szCs w:val="24"/>
          <w:lang w:val="en-US"/>
        </w:rPr>
        <w:t xml:space="preserve">. </w:t>
      </w:r>
    </w:p>
    <w:p w14:paraId="40C54A39" w14:textId="193EAC60" w:rsidR="00582705" w:rsidRPr="00D1021A" w:rsidRDefault="00582705" w:rsidP="00582705">
      <w:pPr>
        <w:spacing w:before="240" w:line="360" w:lineRule="auto"/>
        <w:ind w:left="-20" w:right="-20"/>
        <w:rPr>
          <w:rFonts w:ascii="Poppins" w:eastAsia="Calibri" w:hAnsi="Poppins" w:cs="Poppins"/>
          <w:sz w:val="24"/>
          <w:szCs w:val="24"/>
        </w:rPr>
      </w:pPr>
      <w:r w:rsidRPr="006416ED">
        <w:rPr>
          <w:rFonts w:ascii="Poppins" w:eastAsia="Calibri" w:hAnsi="Poppins" w:cs="Poppins"/>
          <w:b/>
          <w:bCs/>
          <w:sz w:val="24"/>
          <w:szCs w:val="24"/>
          <w:lang w:val="en-US"/>
        </w:rPr>
        <w:t>Müller, F. J. (2021).</w:t>
      </w:r>
      <w:r w:rsidRPr="006416ED">
        <w:rPr>
          <w:rFonts w:ascii="Poppins" w:eastAsia="Calibri" w:hAnsi="Poppins" w:cs="Poppins"/>
          <w:sz w:val="24"/>
          <w:szCs w:val="24"/>
          <w:lang w:val="en-US"/>
        </w:rPr>
        <w:t xml:space="preserve"> Say no to reinventing the wheel: How other countries can build on the Norwegian model of state-financed OER to create more inclusive upper secondary schools. </w:t>
      </w:r>
      <w:r w:rsidRPr="00D1021A">
        <w:rPr>
          <w:rFonts w:ascii="Poppins" w:eastAsia="Calibri" w:hAnsi="Poppins" w:cs="Poppins"/>
          <w:sz w:val="24"/>
          <w:szCs w:val="24"/>
        </w:rPr>
        <w:t>Open Praxis, 13(2), 213-227.</w:t>
      </w:r>
      <w:r w:rsidR="004D2467" w:rsidRPr="00D1021A">
        <w:rPr>
          <w:rFonts w:ascii="Poppins" w:eastAsia="Calibri" w:hAnsi="Poppins" w:cs="Poppins"/>
          <w:sz w:val="24"/>
          <w:szCs w:val="24"/>
        </w:rPr>
        <w:t xml:space="preserve"> Online verfügbar unter: </w:t>
      </w:r>
      <w:hyperlink r:id="rId39" w:history="1">
        <w:r w:rsidR="004D2467" w:rsidRPr="00D1021A">
          <w:rPr>
            <w:rStyle w:val="Hyperlink"/>
            <w:rFonts w:ascii="Poppins" w:eastAsia="Calibri" w:hAnsi="Poppins" w:cs="Poppins"/>
            <w:sz w:val="24"/>
            <w:szCs w:val="24"/>
          </w:rPr>
          <w:t>https://search.informit.org/doi/pdf/10.3316/informit.135493299425948</w:t>
        </w:r>
      </w:hyperlink>
      <w:r w:rsidR="004D2467" w:rsidRPr="00D1021A">
        <w:rPr>
          <w:rFonts w:ascii="Poppins" w:eastAsia="Calibri" w:hAnsi="Poppins" w:cs="Poppins"/>
          <w:sz w:val="24"/>
          <w:szCs w:val="24"/>
        </w:rPr>
        <w:t xml:space="preserve"> [</w:t>
      </w:r>
      <w:r w:rsidR="008B1F0B">
        <w:rPr>
          <w:rFonts w:ascii="Poppins" w:eastAsia="Calibri" w:hAnsi="Poppins" w:cs="Poppins"/>
          <w:sz w:val="24"/>
          <w:szCs w:val="24"/>
        </w:rPr>
        <w:t>12</w:t>
      </w:r>
      <w:r w:rsidR="004D2467" w:rsidRPr="00D1021A">
        <w:rPr>
          <w:rFonts w:ascii="Poppins" w:eastAsia="Calibri" w:hAnsi="Poppins" w:cs="Poppins"/>
          <w:sz w:val="24"/>
          <w:szCs w:val="24"/>
        </w:rPr>
        <w:t>.09.2024]</w:t>
      </w:r>
      <w:r w:rsidR="000C2B5C" w:rsidRPr="00D1021A">
        <w:rPr>
          <w:rFonts w:ascii="Poppins" w:eastAsia="Calibri" w:hAnsi="Poppins" w:cs="Poppins"/>
          <w:sz w:val="24"/>
          <w:szCs w:val="24"/>
        </w:rPr>
        <w:t>.</w:t>
      </w:r>
    </w:p>
    <w:p w14:paraId="65ED2D56" w14:textId="6C193C18" w:rsidR="002259A9" w:rsidRPr="00D1021A" w:rsidRDefault="002259A9" w:rsidP="002259A9">
      <w:pPr>
        <w:spacing w:before="240" w:line="360" w:lineRule="auto"/>
        <w:ind w:left="-20" w:right="-20"/>
        <w:rPr>
          <w:rFonts w:ascii="Poppins" w:eastAsia="Calibri" w:hAnsi="Poppins" w:cs="Poppins"/>
          <w:sz w:val="24"/>
          <w:szCs w:val="24"/>
        </w:rPr>
      </w:pPr>
      <w:proofErr w:type="spellStart"/>
      <w:r w:rsidRPr="00D1021A">
        <w:rPr>
          <w:rFonts w:ascii="Poppins" w:eastAsia="Calibri" w:hAnsi="Poppins" w:cs="Poppins"/>
          <w:b/>
          <w:bCs/>
          <w:sz w:val="24"/>
          <w:szCs w:val="24"/>
        </w:rPr>
        <w:t>Müskens</w:t>
      </w:r>
      <w:proofErr w:type="spellEnd"/>
      <w:r w:rsidRPr="00D1021A">
        <w:rPr>
          <w:rFonts w:ascii="Poppins" w:eastAsia="Calibri" w:hAnsi="Poppins" w:cs="Poppins"/>
          <w:b/>
          <w:bCs/>
          <w:sz w:val="24"/>
          <w:szCs w:val="24"/>
        </w:rPr>
        <w:t xml:space="preserve">, W.; </w:t>
      </w:r>
      <w:proofErr w:type="spellStart"/>
      <w:r w:rsidRPr="00D1021A">
        <w:rPr>
          <w:rFonts w:ascii="Poppins" w:eastAsia="Calibri" w:hAnsi="Poppins" w:cs="Poppins"/>
          <w:b/>
          <w:bCs/>
          <w:sz w:val="24"/>
          <w:szCs w:val="24"/>
        </w:rPr>
        <w:t>Zawacki</w:t>
      </w:r>
      <w:proofErr w:type="spellEnd"/>
      <w:r w:rsidRPr="00D1021A">
        <w:rPr>
          <w:rFonts w:ascii="Poppins" w:eastAsia="Calibri" w:hAnsi="Poppins" w:cs="Poppins"/>
          <w:b/>
          <w:bCs/>
          <w:sz w:val="24"/>
          <w:szCs w:val="24"/>
        </w:rPr>
        <w:t>-Richter, O. &amp; Dolch, C. (2021).</w:t>
      </w:r>
      <w:r w:rsidRPr="00D1021A">
        <w:rPr>
          <w:rFonts w:ascii="Poppins" w:eastAsia="Calibri" w:hAnsi="Poppins" w:cs="Poppins"/>
          <w:sz w:val="24"/>
          <w:szCs w:val="24"/>
        </w:rPr>
        <w:t xml:space="preserve"> Instrument der Qualitätssicherung von OER – </w:t>
      </w:r>
      <w:proofErr w:type="spellStart"/>
      <w:r w:rsidRPr="00D1021A">
        <w:rPr>
          <w:rFonts w:ascii="Poppins" w:eastAsia="Calibri" w:hAnsi="Poppins" w:cs="Poppins"/>
          <w:sz w:val="24"/>
          <w:szCs w:val="24"/>
        </w:rPr>
        <w:t>IQOer</w:t>
      </w:r>
      <w:proofErr w:type="spellEnd"/>
      <w:r w:rsidRPr="00D1021A">
        <w:rPr>
          <w:rFonts w:ascii="Poppins" w:eastAsia="Calibri" w:hAnsi="Poppins" w:cs="Poppins"/>
          <w:sz w:val="24"/>
          <w:szCs w:val="24"/>
        </w:rPr>
        <w:t xml:space="preserve"> – Entwicklungsversion 17 (Stand: 11.06.2021).</w:t>
      </w:r>
      <w:r w:rsidR="00AE0983" w:rsidRPr="00D1021A">
        <w:rPr>
          <w:rFonts w:ascii="Poppins" w:eastAsia="Calibri" w:hAnsi="Poppins" w:cs="Poppins"/>
          <w:sz w:val="24"/>
          <w:szCs w:val="24"/>
        </w:rPr>
        <w:t xml:space="preserve"> Online verfügbar unter: </w:t>
      </w:r>
      <w:hyperlink r:id="rId40" w:history="1">
        <w:r w:rsidR="00AE0983" w:rsidRPr="00D1021A">
          <w:rPr>
            <w:rStyle w:val="Hyperlink"/>
            <w:rFonts w:ascii="Poppins" w:eastAsia="Calibri" w:hAnsi="Poppins" w:cs="Poppins"/>
            <w:sz w:val="24"/>
            <w:szCs w:val="24"/>
          </w:rPr>
          <w:t>https://portal.hoou.de/wp-content/uploads/2023/09/IQOer_-_Entwicklungsversion_17.pdf</w:t>
        </w:r>
      </w:hyperlink>
      <w:r w:rsidR="00AE0983" w:rsidRPr="00D1021A">
        <w:rPr>
          <w:rFonts w:ascii="Poppins" w:eastAsia="Calibri" w:hAnsi="Poppins" w:cs="Poppins"/>
          <w:sz w:val="24"/>
          <w:szCs w:val="24"/>
        </w:rPr>
        <w:t xml:space="preserve"> [</w:t>
      </w:r>
      <w:r w:rsidR="008B1F0B">
        <w:rPr>
          <w:rFonts w:ascii="Poppins" w:eastAsia="Calibri" w:hAnsi="Poppins" w:cs="Poppins"/>
          <w:sz w:val="24"/>
          <w:szCs w:val="24"/>
        </w:rPr>
        <w:t>12</w:t>
      </w:r>
      <w:r w:rsidR="00AE0983" w:rsidRPr="00D1021A">
        <w:rPr>
          <w:rFonts w:ascii="Poppins" w:eastAsia="Calibri" w:hAnsi="Poppins" w:cs="Poppins"/>
          <w:sz w:val="24"/>
          <w:szCs w:val="24"/>
        </w:rPr>
        <w:t>.09.2024]</w:t>
      </w:r>
      <w:r w:rsidR="000C2B5C" w:rsidRPr="00D1021A">
        <w:rPr>
          <w:rFonts w:ascii="Poppins" w:eastAsia="Calibri" w:hAnsi="Poppins" w:cs="Poppins"/>
          <w:sz w:val="24"/>
          <w:szCs w:val="24"/>
        </w:rPr>
        <w:t>.</w:t>
      </w:r>
    </w:p>
    <w:p w14:paraId="3799B859" w14:textId="0D2B3009" w:rsidR="00EC728F" w:rsidRPr="008B1F0B" w:rsidRDefault="00EC728F" w:rsidP="009B614E">
      <w:pPr>
        <w:spacing w:before="240" w:line="360" w:lineRule="auto"/>
        <w:ind w:left="-20" w:right="-20"/>
        <w:rPr>
          <w:rFonts w:ascii="Poppins" w:eastAsia="Calibri" w:hAnsi="Poppins" w:cs="Poppins"/>
          <w:sz w:val="28"/>
          <w:szCs w:val="28"/>
        </w:rPr>
      </w:pPr>
      <w:proofErr w:type="spellStart"/>
      <w:r w:rsidRPr="00D1021A">
        <w:rPr>
          <w:rFonts w:ascii="Poppins" w:eastAsia="Calibri" w:hAnsi="Poppins" w:cs="Poppins"/>
          <w:b/>
          <w:bCs/>
          <w:sz w:val="24"/>
          <w:szCs w:val="24"/>
        </w:rPr>
        <w:t>Muralidharan</w:t>
      </w:r>
      <w:proofErr w:type="spellEnd"/>
      <w:r w:rsidRPr="00D1021A">
        <w:rPr>
          <w:rFonts w:ascii="Poppins" w:eastAsia="Calibri" w:hAnsi="Poppins" w:cs="Poppins"/>
          <w:b/>
          <w:bCs/>
          <w:sz w:val="24"/>
          <w:szCs w:val="24"/>
        </w:rPr>
        <w:t>, K. (2024).</w:t>
      </w:r>
      <w:r w:rsidRPr="00D1021A">
        <w:rPr>
          <w:rFonts w:ascii="Poppins" w:eastAsia="Calibri" w:hAnsi="Poppins" w:cs="Poppins"/>
          <w:sz w:val="24"/>
          <w:szCs w:val="24"/>
        </w:rPr>
        <w:t xml:space="preserve"> Six Sigma für organisatorische Exzellenz: Ein statistischer Ansatz. </w:t>
      </w:r>
      <w:r w:rsidR="008B1F0B">
        <w:rPr>
          <w:rFonts w:ascii="Poppins" w:eastAsia="Calibri" w:hAnsi="Poppins" w:cs="Poppins"/>
          <w:sz w:val="24"/>
          <w:szCs w:val="24"/>
        </w:rPr>
        <w:t xml:space="preserve">New Delhi: </w:t>
      </w:r>
      <w:r w:rsidRPr="00D1021A">
        <w:rPr>
          <w:rFonts w:ascii="Poppins" w:eastAsia="Calibri" w:hAnsi="Poppins" w:cs="Poppins"/>
          <w:sz w:val="24"/>
          <w:szCs w:val="24"/>
        </w:rPr>
        <w:t>Springer-Verlag.</w:t>
      </w:r>
      <w:r w:rsidR="008B1F0B">
        <w:rPr>
          <w:rFonts w:ascii="Poppins" w:eastAsia="Calibri" w:hAnsi="Poppins" w:cs="Poppins"/>
          <w:sz w:val="24"/>
          <w:szCs w:val="24"/>
        </w:rPr>
        <w:t xml:space="preserve"> DOI: </w:t>
      </w:r>
      <w:hyperlink r:id="rId41" w:history="1">
        <w:r w:rsidR="008B1F0B" w:rsidRPr="008B1F0B">
          <w:rPr>
            <w:rStyle w:val="Hyperlink"/>
            <w:rFonts w:ascii="Poppins" w:hAnsi="Poppins" w:cs="Poppins"/>
            <w:sz w:val="24"/>
            <w:szCs w:val="24"/>
            <w:shd w:val="clear" w:color="auto" w:fill="FFFFFF"/>
          </w:rPr>
          <w:t>https://doi.org/10.1007/978-81-322-4001-3</w:t>
        </w:r>
      </w:hyperlink>
      <w:r w:rsidR="008B1F0B" w:rsidRPr="008B1F0B">
        <w:rPr>
          <w:rFonts w:ascii="Poppins" w:hAnsi="Poppins" w:cs="Poppins"/>
          <w:color w:val="222222"/>
          <w:sz w:val="24"/>
          <w:szCs w:val="24"/>
          <w:shd w:val="clear" w:color="auto" w:fill="FFFFFF"/>
        </w:rPr>
        <w:t>.</w:t>
      </w:r>
    </w:p>
    <w:p w14:paraId="1A1713DC" w14:textId="7C0527F0" w:rsidR="0040385C" w:rsidRPr="00D1021A" w:rsidRDefault="00046E90" w:rsidP="00E971E4">
      <w:pPr>
        <w:spacing w:before="240" w:line="360" w:lineRule="auto"/>
        <w:ind w:left="-20" w:right="-20"/>
        <w:rPr>
          <w:rFonts w:ascii="Poppins" w:eastAsia="Calibri" w:hAnsi="Poppins" w:cs="Poppins"/>
          <w:sz w:val="24"/>
          <w:szCs w:val="24"/>
        </w:rPr>
      </w:pPr>
      <w:proofErr w:type="spellStart"/>
      <w:r w:rsidRPr="00D1021A">
        <w:rPr>
          <w:rFonts w:ascii="Poppins" w:eastAsia="Calibri" w:hAnsi="Poppins" w:cs="Poppins"/>
          <w:b/>
          <w:bCs/>
          <w:sz w:val="24"/>
          <w:szCs w:val="24"/>
        </w:rPr>
        <w:t>Muuß-Merholz</w:t>
      </w:r>
      <w:proofErr w:type="spellEnd"/>
      <w:r w:rsidRPr="00D1021A">
        <w:rPr>
          <w:rFonts w:ascii="Poppins" w:eastAsia="Calibri" w:hAnsi="Poppins" w:cs="Poppins"/>
          <w:b/>
          <w:bCs/>
          <w:sz w:val="24"/>
          <w:szCs w:val="24"/>
        </w:rPr>
        <w:t>, J.</w:t>
      </w:r>
      <w:r w:rsidR="00E971E4" w:rsidRPr="00D1021A">
        <w:rPr>
          <w:rFonts w:ascii="Poppins" w:eastAsia="Calibri" w:hAnsi="Poppins" w:cs="Poppins"/>
          <w:b/>
          <w:bCs/>
          <w:sz w:val="24"/>
          <w:szCs w:val="24"/>
        </w:rPr>
        <w:t xml:space="preserve"> &amp; Lohrer, J. </w:t>
      </w:r>
      <w:r w:rsidRPr="00D1021A">
        <w:rPr>
          <w:rFonts w:ascii="Poppins" w:eastAsia="Calibri" w:hAnsi="Poppins" w:cs="Poppins"/>
          <w:b/>
          <w:bCs/>
          <w:sz w:val="24"/>
          <w:szCs w:val="24"/>
        </w:rPr>
        <w:t>(2015).</w:t>
      </w:r>
      <w:r w:rsidRPr="00D1021A">
        <w:rPr>
          <w:rFonts w:ascii="Poppins" w:eastAsia="Calibri" w:hAnsi="Poppins" w:cs="Poppins"/>
          <w:sz w:val="24"/>
          <w:szCs w:val="24"/>
        </w:rPr>
        <w:t xml:space="preserve"> </w:t>
      </w:r>
      <w:r w:rsidR="00E971E4" w:rsidRPr="00D1021A">
        <w:rPr>
          <w:rFonts w:ascii="Poppins" w:eastAsia="Calibri" w:hAnsi="Poppins" w:cs="Poppins"/>
          <w:sz w:val="24"/>
          <w:szCs w:val="24"/>
        </w:rPr>
        <w:t xml:space="preserve">Schaubild „Die 5V-Freiheiten für Offenheit“ von Julia Eggestein (Grafik), </w:t>
      </w:r>
      <w:proofErr w:type="spellStart"/>
      <w:r w:rsidR="00E971E4" w:rsidRPr="00D1021A">
        <w:rPr>
          <w:rFonts w:ascii="Poppins" w:eastAsia="Calibri" w:hAnsi="Poppins" w:cs="Poppins"/>
          <w:sz w:val="24"/>
          <w:szCs w:val="24"/>
        </w:rPr>
        <w:t>Joeran</w:t>
      </w:r>
      <w:proofErr w:type="spellEnd"/>
      <w:r w:rsidR="00E971E4" w:rsidRPr="00D1021A">
        <w:rPr>
          <w:rFonts w:ascii="Poppins" w:eastAsia="Calibri" w:hAnsi="Poppins" w:cs="Poppins"/>
          <w:sz w:val="24"/>
          <w:szCs w:val="24"/>
        </w:rPr>
        <w:t xml:space="preserve"> </w:t>
      </w:r>
      <w:proofErr w:type="spellStart"/>
      <w:r w:rsidR="00E971E4" w:rsidRPr="00D1021A">
        <w:rPr>
          <w:rFonts w:ascii="Poppins" w:eastAsia="Calibri" w:hAnsi="Poppins" w:cs="Poppins"/>
          <w:sz w:val="24"/>
          <w:szCs w:val="24"/>
        </w:rPr>
        <w:t>Muuß-Merholz</w:t>
      </w:r>
      <w:proofErr w:type="spellEnd"/>
      <w:r w:rsidR="00E971E4" w:rsidRPr="00D1021A">
        <w:rPr>
          <w:rFonts w:ascii="Poppins" w:eastAsia="Calibri" w:hAnsi="Poppins" w:cs="Poppins"/>
          <w:sz w:val="24"/>
          <w:szCs w:val="24"/>
        </w:rPr>
        <w:t xml:space="preserve"> (inhaltliche Übersetzung, Anpassung und vorsichtige Erweiterung) und Jörg Lohrer (Wortschöpfer) unter CC BY 4.0 basierend auf „</w:t>
      </w:r>
      <w:proofErr w:type="spellStart"/>
      <w:r w:rsidR="00E971E4" w:rsidRPr="00D1021A">
        <w:rPr>
          <w:rFonts w:ascii="Poppins" w:eastAsia="Calibri" w:hAnsi="Poppins" w:cs="Poppins"/>
          <w:sz w:val="24"/>
          <w:szCs w:val="24"/>
        </w:rPr>
        <w:t>Defining</w:t>
      </w:r>
      <w:proofErr w:type="spellEnd"/>
      <w:r w:rsidR="00E971E4" w:rsidRPr="00D1021A">
        <w:rPr>
          <w:rFonts w:ascii="Poppins" w:eastAsia="Calibri" w:hAnsi="Poppins" w:cs="Poppins"/>
          <w:sz w:val="24"/>
          <w:szCs w:val="24"/>
        </w:rPr>
        <w:t xml:space="preserve"> </w:t>
      </w:r>
      <w:proofErr w:type="spellStart"/>
      <w:r w:rsidR="00E971E4" w:rsidRPr="00D1021A">
        <w:rPr>
          <w:rFonts w:ascii="Poppins" w:eastAsia="Calibri" w:hAnsi="Poppins" w:cs="Poppins"/>
          <w:sz w:val="24"/>
          <w:szCs w:val="24"/>
        </w:rPr>
        <w:t>the</w:t>
      </w:r>
      <w:proofErr w:type="spellEnd"/>
      <w:r w:rsidR="00E971E4" w:rsidRPr="00D1021A">
        <w:rPr>
          <w:rFonts w:ascii="Poppins" w:eastAsia="Calibri" w:hAnsi="Poppins" w:cs="Poppins"/>
          <w:sz w:val="24"/>
          <w:szCs w:val="24"/>
        </w:rPr>
        <w:t xml:space="preserve"> ‘Open’ in Open Content and Open Educational Resources“ von David Wiley auf CC BY 4.0. </w:t>
      </w:r>
      <w:r w:rsidRPr="00D1021A">
        <w:rPr>
          <w:rFonts w:ascii="Poppins" w:eastAsia="Calibri" w:hAnsi="Poppins" w:cs="Poppins"/>
          <w:sz w:val="24"/>
          <w:szCs w:val="24"/>
        </w:rPr>
        <w:t xml:space="preserve">Online verfügbar unter: </w:t>
      </w:r>
      <w:hyperlink r:id="rId42" w:history="1">
        <w:r w:rsidR="008B1F0B">
          <w:rPr>
            <w:rStyle w:val="Hyperlink"/>
            <w:rFonts w:ascii="Poppins" w:eastAsia="Times New Roman" w:hAnsi="Poppins" w:cs="Poppins"/>
            <w:sz w:val="24"/>
            <w:szCs w:val="24"/>
          </w:rPr>
          <w:t>https://open-educational-resources.de/5rs-auf-deutsch/</w:t>
        </w:r>
      </w:hyperlink>
      <w:r w:rsidRPr="00D1021A">
        <w:rPr>
          <w:rFonts w:ascii="Poppins" w:eastAsia="Calibri" w:hAnsi="Poppins" w:cs="Poppins"/>
          <w:sz w:val="24"/>
          <w:szCs w:val="24"/>
        </w:rPr>
        <w:t xml:space="preserve"> [</w:t>
      </w:r>
      <w:r w:rsidR="00E971E4" w:rsidRPr="00D1021A">
        <w:rPr>
          <w:rFonts w:ascii="Poppins" w:eastAsia="Calibri" w:hAnsi="Poppins" w:cs="Poppins"/>
          <w:sz w:val="24"/>
          <w:szCs w:val="24"/>
        </w:rPr>
        <w:t>1</w:t>
      </w:r>
      <w:r w:rsidR="008B1F0B">
        <w:rPr>
          <w:rFonts w:ascii="Poppins" w:eastAsia="Calibri" w:hAnsi="Poppins" w:cs="Poppins"/>
          <w:sz w:val="24"/>
          <w:szCs w:val="24"/>
        </w:rPr>
        <w:t>2</w:t>
      </w:r>
      <w:r w:rsidR="00E971E4" w:rsidRPr="00D1021A">
        <w:rPr>
          <w:rFonts w:ascii="Poppins" w:eastAsia="Calibri" w:hAnsi="Poppins" w:cs="Poppins"/>
          <w:sz w:val="24"/>
          <w:szCs w:val="24"/>
        </w:rPr>
        <w:t>.</w:t>
      </w:r>
      <w:r w:rsidR="008B1F0B">
        <w:rPr>
          <w:rFonts w:ascii="Poppins" w:eastAsia="Calibri" w:hAnsi="Poppins" w:cs="Poppins"/>
          <w:sz w:val="24"/>
          <w:szCs w:val="24"/>
        </w:rPr>
        <w:t>09</w:t>
      </w:r>
      <w:r w:rsidRPr="00D1021A">
        <w:rPr>
          <w:rFonts w:ascii="Poppins" w:eastAsia="Calibri" w:hAnsi="Poppins" w:cs="Poppins"/>
          <w:sz w:val="24"/>
          <w:szCs w:val="24"/>
        </w:rPr>
        <w:t>.</w:t>
      </w:r>
      <w:r w:rsidR="00E971E4" w:rsidRPr="00D1021A">
        <w:rPr>
          <w:rFonts w:ascii="Poppins" w:eastAsia="Calibri" w:hAnsi="Poppins" w:cs="Poppins"/>
          <w:sz w:val="24"/>
          <w:szCs w:val="24"/>
        </w:rPr>
        <w:t>20</w:t>
      </w:r>
      <w:r w:rsidRPr="00D1021A">
        <w:rPr>
          <w:rFonts w:ascii="Poppins" w:eastAsia="Calibri" w:hAnsi="Poppins" w:cs="Poppins"/>
          <w:sz w:val="24"/>
          <w:szCs w:val="24"/>
        </w:rPr>
        <w:t>24].</w:t>
      </w:r>
    </w:p>
    <w:p w14:paraId="043ED19A" w14:textId="042038CE" w:rsidR="008D6CB8" w:rsidRPr="00D1021A" w:rsidRDefault="008D6CB8" w:rsidP="008D6CB8">
      <w:pPr>
        <w:spacing w:before="240" w:line="360" w:lineRule="auto"/>
        <w:ind w:left="-20" w:right="-20"/>
        <w:rPr>
          <w:rFonts w:ascii="Poppins" w:eastAsia="Calibri" w:hAnsi="Poppins" w:cs="Poppins"/>
          <w:sz w:val="24"/>
          <w:szCs w:val="24"/>
        </w:rPr>
      </w:pPr>
      <w:r w:rsidRPr="006416ED">
        <w:rPr>
          <w:rFonts w:ascii="Poppins" w:eastAsia="Calibri" w:hAnsi="Poppins" w:cs="Poppins"/>
          <w:b/>
          <w:bCs/>
          <w:sz w:val="24"/>
          <w:szCs w:val="24"/>
          <w:lang w:val="en-US"/>
        </w:rPr>
        <w:t xml:space="preserve">Nesbit, J., Belfer, K., &amp; Vargo, J. (2002). </w:t>
      </w:r>
      <w:r w:rsidRPr="006416ED">
        <w:rPr>
          <w:rFonts w:ascii="Poppins" w:eastAsia="Calibri" w:hAnsi="Poppins" w:cs="Poppins"/>
          <w:sz w:val="24"/>
          <w:szCs w:val="24"/>
          <w:lang w:val="en-US"/>
        </w:rPr>
        <w:t xml:space="preserve">A convergent participation model for evaluation of learning objects. </w:t>
      </w:r>
      <w:r w:rsidRPr="00D1021A">
        <w:rPr>
          <w:rFonts w:ascii="Poppins" w:eastAsia="Calibri" w:hAnsi="Poppins" w:cs="Poppins"/>
          <w:sz w:val="24"/>
          <w:szCs w:val="24"/>
        </w:rPr>
        <w:t xml:space="preserve">Canadian Journal </w:t>
      </w:r>
      <w:proofErr w:type="spellStart"/>
      <w:r w:rsidRPr="00D1021A">
        <w:rPr>
          <w:rFonts w:ascii="Poppins" w:eastAsia="Calibri" w:hAnsi="Poppins" w:cs="Poppins"/>
          <w:sz w:val="24"/>
          <w:szCs w:val="24"/>
        </w:rPr>
        <w:t>of</w:t>
      </w:r>
      <w:proofErr w:type="spellEnd"/>
      <w:r w:rsidRPr="00D1021A">
        <w:rPr>
          <w:rFonts w:ascii="Poppins" w:eastAsia="Calibri" w:hAnsi="Poppins" w:cs="Poppins"/>
          <w:sz w:val="24"/>
          <w:szCs w:val="24"/>
        </w:rPr>
        <w:t xml:space="preserve"> Learning and Technology, 28(3)</w:t>
      </w:r>
      <w:r w:rsidR="008B1F0B">
        <w:rPr>
          <w:rFonts w:ascii="Poppins" w:eastAsia="Calibri" w:hAnsi="Poppins" w:cs="Poppins"/>
          <w:sz w:val="24"/>
          <w:szCs w:val="24"/>
        </w:rPr>
        <w:t>, p. 105-120.</w:t>
      </w:r>
    </w:p>
    <w:p w14:paraId="190A96E0" w14:textId="5DDE5F96" w:rsidR="008F429D" w:rsidRPr="006416ED" w:rsidRDefault="008F429D" w:rsidP="009B614E">
      <w:pPr>
        <w:spacing w:before="240" w:line="360" w:lineRule="auto"/>
        <w:ind w:left="-20" w:right="-20"/>
        <w:rPr>
          <w:rFonts w:ascii="Poppins" w:eastAsia="Calibri" w:hAnsi="Poppins" w:cs="Poppins"/>
          <w:sz w:val="24"/>
          <w:szCs w:val="24"/>
          <w:lang w:val="en-US"/>
        </w:rPr>
      </w:pPr>
      <w:r w:rsidRPr="00D1021A">
        <w:rPr>
          <w:rFonts w:ascii="Poppins" w:eastAsia="Calibri" w:hAnsi="Poppins" w:cs="Poppins"/>
          <w:b/>
          <w:bCs/>
          <w:sz w:val="24"/>
          <w:szCs w:val="24"/>
        </w:rPr>
        <w:t>Neumann, A. (2014).</w:t>
      </w:r>
      <w:r w:rsidRPr="00D1021A">
        <w:rPr>
          <w:rFonts w:ascii="Poppins" w:eastAsia="Calibri" w:hAnsi="Poppins" w:cs="Poppins"/>
          <w:sz w:val="24"/>
          <w:szCs w:val="24"/>
        </w:rPr>
        <w:t xml:space="preserve"> Mehr Wettbewerb, weniger Humboldt? Ökonomisierung in der Wissenschaftspolitik. Die Ökonomisierung der Politik in Deutschland: Eine vergleichende Politikfeldanalyse</w:t>
      </w:r>
      <w:r w:rsidR="008B1F0B">
        <w:rPr>
          <w:rFonts w:ascii="Poppins" w:eastAsia="Calibri" w:hAnsi="Poppins" w:cs="Poppins"/>
          <w:sz w:val="24"/>
          <w:szCs w:val="24"/>
        </w:rPr>
        <w:t xml:space="preserve">. Wiesbaden: </w:t>
      </w:r>
      <w:r w:rsidR="008B1F0B">
        <w:rPr>
          <w:rFonts w:ascii="Poppins" w:eastAsia="Calibri" w:hAnsi="Poppins" w:cs="Poppins"/>
          <w:sz w:val="24"/>
          <w:szCs w:val="24"/>
        </w:rPr>
        <w:lastRenderedPageBreak/>
        <w:t>Springer VS,</w:t>
      </w:r>
      <w:r w:rsidRPr="00D1021A">
        <w:rPr>
          <w:rFonts w:ascii="Poppins" w:eastAsia="Calibri" w:hAnsi="Poppins" w:cs="Poppins"/>
          <w:sz w:val="24"/>
          <w:szCs w:val="24"/>
        </w:rPr>
        <w:t xml:space="preserve"> </w:t>
      </w:r>
      <w:r w:rsidR="008B1F0B">
        <w:rPr>
          <w:rFonts w:ascii="Poppins" w:eastAsia="Calibri" w:hAnsi="Poppins" w:cs="Poppins"/>
          <w:sz w:val="24"/>
          <w:szCs w:val="24"/>
        </w:rPr>
        <w:t xml:space="preserve">S. </w:t>
      </w:r>
      <w:r w:rsidRPr="00D1021A">
        <w:rPr>
          <w:rFonts w:ascii="Poppins" w:eastAsia="Calibri" w:hAnsi="Poppins" w:cs="Poppins"/>
          <w:sz w:val="24"/>
          <w:szCs w:val="24"/>
        </w:rPr>
        <w:t>239-258.</w:t>
      </w:r>
      <w:r w:rsidR="008B1F0B">
        <w:rPr>
          <w:rFonts w:ascii="Poppins" w:eastAsia="Calibri" w:hAnsi="Poppins" w:cs="Poppins"/>
          <w:sz w:val="24"/>
          <w:szCs w:val="24"/>
        </w:rPr>
        <w:t xml:space="preserve"> </w:t>
      </w:r>
      <w:r w:rsidR="008B1F0B" w:rsidRPr="006416ED">
        <w:rPr>
          <w:rFonts w:ascii="Poppins" w:eastAsia="Calibri" w:hAnsi="Poppins" w:cs="Poppins"/>
          <w:sz w:val="24"/>
          <w:szCs w:val="24"/>
          <w:lang w:val="en-US"/>
        </w:rPr>
        <w:t xml:space="preserve">DOI: </w:t>
      </w:r>
      <w:hyperlink r:id="rId43" w:history="1">
        <w:r w:rsidR="008B1F0B" w:rsidRPr="006416ED">
          <w:rPr>
            <w:rStyle w:val="Hyperlink"/>
            <w:rFonts w:ascii="Poppins" w:hAnsi="Poppins" w:cs="Poppins"/>
            <w:sz w:val="24"/>
            <w:szCs w:val="24"/>
            <w:shd w:val="clear" w:color="auto" w:fill="FFFFFF"/>
            <w:lang w:val="en-US"/>
          </w:rPr>
          <w:t>https://doi.org/10.1007/978-3-658-02620-2_11</w:t>
        </w:r>
      </w:hyperlink>
      <w:r w:rsidR="008B1F0B" w:rsidRPr="006416ED">
        <w:rPr>
          <w:rFonts w:ascii="Merriweather Sans" w:hAnsi="Merriweather Sans"/>
          <w:color w:val="222222"/>
          <w:shd w:val="clear" w:color="auto" w:fill="FFFFFF"/>
          <w:lang w:val="en-US"/>
        </w:rPr>
        <w:t>.</w:t>
      </w:r>
    </w:p>
    <w:p w14:paraId="713B22AA" w14:textId="43E4A08D" w:rsidR="007D6025" w:rsidRPr="00D1021A" w:rsidRDefault="007D6025" w:rsidP="009B614E">
      <w:pPr>
        <w:spacing w:before="240" w:line="360" w:lineRule="auto"/>
        <w:ind w:left="-20" w:right="-20"/>
        <w:rPr>
          <w:rFonts w:ascii="Poppins" w:hAnsi="Poppins" w:cs="Poppins"/>
          <w:sz w:val="24"/>
          <w:szCs w:val="24"/>
        </w:rPr>
      </w:pPr>
      <w:proofErr w:type="spellStart"/>
      <w:r w:rsidRPr="006416ED">
        <w:rPr>
          <w:rFonts w:ascii="Poppins" w:hAnsi="Poppins" w:cs="Poppins"/>
          <w:b/>
          <w:bCs/>
          <w:sz w:val="24"/>
          <w:szCs w:val="24"/>
          <w:lang w:val="en-US"/>
        </w:rPr>
        <w:t>Ossiannilsson</w:t>
      </w:r>
      <w:proofErr w:type="spellEnd"/>
      <w:r w:rsidRPr="006416ED">
        <w:rPr>
          <w:rFonts w:ascii="Poppins" w:hAnsi="Poppins" w:cs="Poppins"/>
          <w:b/>
          <w:bCs/>
          <w:sz w:val="24"/>
          <w:szCs w:val="24"/>
          <w:lang w:val="en-US"/>
        </w:rPr>
        <w:t>, E.; Williams, K.; Camilleri, A. F. &amp; Brown, M. (2015).</w:t>
      </w:r>
      <w:r w:rsidRPr="006416ED">
        <w:rPr>
          <w:rFonts w:ascii="Poppins" w:hAnsi="Poppins" w:cs="Poppins"/>
          <w:sz w:val="24"/>
          <w:szCs w:val="24"/>
          <w:lang w:val="en-US"/>
        </w:rPr>
        <w:t xml:space="preserve"> Quality models in online and open education around the globe. State of the art and recommendations. Oslo: International Council for Open and Distance Education. </w:t>
      </w:r>
      <w:r w:rsidR="008B1F0B">
        <w:rPr>
          <w:rFonts w:ascii="Poppins" w:eastAsia="Calibri" w:hAnsi="Poppins" w:cs="Poppins"/>
          <w:color w:val="000000" w:themeColor="text1"/>
          <w:sz w:val="24"/>
          <w:szCs w:val="24"/>
        </w:rPr>
        <w:t xml:space="preserve">DOI: </w:t>
      </w:r>
      <w:hyperlink r:id="rId44" w:history="1">
        <w:r w:rsidR="008B1F0B" w:rsidRPr="008B1F0B">
          <w:rPr>
            <w:rStyle w:val="Hyperlink"/>
            <w:rFonts w:ascii="Poppins" w:hAnsi="Poppins" w:cs="Poppins"/>
            <w:sz w:val="24"/>
            <w:szCs w:val="24"/>
          </w:rPr>
          <w:t>https://doi.org/10.25656/01:10879</w:t>
        </w:r>
      </w:hyperlink>
      <w:r w:rsidR="008B1F0B" w:rsidRPr="008B1F0B">
        <w:rPr>
          <w:rFonts w:ascii="Poppins" w:hAnsi="Poppins" w:cs="Poppins"/>
          <w:sz w:val="24"/>
          <w:szCs w:val="24"/>
        </w:rPr>
        <w:t>.</w:t>
      </w:r>
    </w:p>
    <w:p w14:paraId="48B8D3FB" w14:textId="42C6EE2B" w:rsidR="00CE581D" w:rsidRPr="00D1021A" w:rsidRDefault="00CE581D" w:rsidP="009B614E">
      <w:pPr>
        <w:spacing w:before="240" w:line="360" w:lineRule="auto"/>
        <w:ind w:left="-20" w:right="-20"/>
        <w:rPr>
          <w:rFonts w:ascii="Poppins" w:hAnsi="Poppins" w:cs="Poppins"/>
          <w:sz w:val="24"/>
          <w:szCs w:val="24"/>
        </w:rPr>
      </w:pPr>
      <w:r w:rsidRPr="00D1021A">
        <w:rPr>
          <w:rFonts w:ascii="Poppins" w:hAnsi="Poppins" w:cs="Poppins"/>
          <w:b/>
          <w:bCs/>
          <w:sz w:val="24"/>
          <w:szCs w:val="24"/>
        </w:rPr>
        <w:t>Otto, D. (2022).</w:t>
      </w:r>
      <w:r w:rsidRPr="00D1021A">
        <w:rPr>
          <w:rFonts w:ascii="Poppins" w:hAnsi="Poppins" w:cs="Poppins"/>
          <w:sz w:val="24"/>
          <w:szCs w:val="24"/>
        </w:rPr>
        <w:t xml:space="preserve"> Die Förderung von Open Educational Resources (OER) in der Hochschule. Zeitschrift für Hochschulentwicklung, 17(2), 217-236.</w:t>
      </w:r>
      <w:r w:rsidR="00CE6EE0" w:rsidRPr="00D1021A">
        <w:rPr>
          <w:rFonts w:ascii="Poppins" w:hAnsi="Poppins" w:cs="Poppins"/>
          <w:sz w:val="24"/>
          <w:szCs w:val="24"/>
        </w:rPr>
        <w:t xml:space="preserve"> </w:t>
      </w:r>
      <w:r w:rsidR="008B1F0B">
        <w:rPr>
          <w:rFonts w:ascii="Poppins" w:hAnsi="Poppins" w:cs="Poppins"/>
          <w:sz w:val="24"/>
          <w:szCs w:val="24"/>
        </w:rPr>
        <w:t xml:space="preserve">DOI: </w:t>
      </w:r>
      <w:hyperlink r:id="rId45" w:history="1">
        <w:r w:rsidR="008B1F0B" w:rsidRPr="008B1F0B">
          <w:rPr>
            <w:rStyle w:val="Hyperlink"/>
            <w:rFonts w:ascii="Poppins" w:hAnsi="Poppins" w:cs="Poppins"/>
            <w:sz w:val="24"/>
            <w:szCs w:val="24"/>
          </w:rPr>
          <w:t>https://doi.org/10.3217/zfhe-17-02/12</w:t>
        </w:r>
      </w:hyperlink>
      <w:r w:rsidR="008B1F0B" w:rsidRPr="008B1F0B">
        <w:t>.</w:t>
      </w:r>
      <w:r w:rsidR="008B1F0B">
        <w:rPr>
          <w:rFonts w:ascii="Source Sans Pro" w:hAnsi="Source Sans Pro"/>
          <w:color w:val="999999"/>
          <w:sz w:val="21"/>
          <w:szCs w:val="21"/>
          <w:shd w:val="clear" w:color="auto" w:fill="F6F6F6"/>
        </w:rPr>
        <w:t xml:space="preserve"> </w:t>
      </w:r>
    </w:p>
    <w:p w14:paraId="48C33EB9" w14:textId="75040C45" w:rsidR="004C0906" w:rsidRPr="006416ED" w:rsidRDefault="004C0906" w:rsidP="009B614E">
      <w:pPr>
        <w:spacing w:before="240" w:line="360" w:lineRule="auto"/>
        <w:ind w:left="-20" w:right="-20"/>
        <w:rPr>
          <w:rFonts w:ascii="Poppins" w:eastAsia="Calibri" w:hAnsi="Poppins" w:cs="Poppins"/>
          <w:sz w:val="24"/>
          <w:szCs w:val="24"/>
          <w:lang w:val="en-US"/>
        </w:rPr>
      </w:pPr>
      <w:r w:rsidRPr="00EE0B07">
        <w:rPr>
          <w:rFonts w:ascii="Poppins" w:hAnsi="Poppins" w:cs="Poppins"/>
          <w:b/>
          <w:bCs/>
          <w:sz w:val="24"/>
          <w:szCs w:val="24"/>
          <w:lang w:val="en-US"/>
        </w:rPr>
        <w:t>Otto, D., &amp; Kerres, M. (2023).</w:t>
      </w:r>
      <w:r w:rsidRPr="00EE0B07">
        <w:rPr>
          <w:rFonts w:ascii="Poppins" w:hAnsi="Poppins" w:cs="Poppins"/>
          <w:sz w:val="24"/>
          <w:szCs w:val="24"/>
          <w:lang w:val="en-US"/>
        </w:rPr>
        <w:t xml:space="preserve"> </w:t>
      </w:r>
      <w:r w:rsidRPr="006416ED">
        <w:rPr>
          <w:rFonts w:ascii="Poppins" w:hAnsi="Poppins" w:cs="Poppins"/>
          <w:sz w:val="24"/>
          <w:szCs w:val="24"/>
          <w:lang w:val="en-US"/>
        </w:rPr>
        <w:t xml:space="preserve">Distributed Learning Ecosystems in Education: A Guide to the Debate. In Distributed Learning Ecosystems: Concepts, Resources, and Repositories (pp. 13-30). Wiesbaden: Springer </w:t>
      </w:r>
      <w:proofErr w:type="spellStart"/>
      <w:r w:rsidRPr="006416ED">
        <w:rPr>
          <w:rFonts w:ascii="Poppins" w:hAnsi="Poppins" w:cs="Poppins"/>
          <w:sz w:val="24"/>
          <w:szCs w:val="24"/>
          <w:lang w:val="en-US"/>
        </w:rPr>
        <w:t>Fachmedien</w:t>
      </w:r>
      <w:proofErr w:type="spellEnd"/>
      <w:r w:rsidRPr="006416ED">
        <w:rPr>
          <w:rFonts w:ascii="Poppins" w:hAnsi="Poppins" w:cs="Poppins"/>
          <w:sz w:val="24"/>
          <w:szCs w:val="24"/>
          <w:lang w:val="en-US"/>
        </w:rPr>
        <w:t xml:space="preserve"> Wiesbaden.</w:t>
      </w:r>
      <w:r w:rsidR="00CE6EE0" w:rsidRPr="006416ED">
        <w:rPr>
          <w:rFonts w:ascii="Poppins" w:hAnsi="Poppins" w:cs="Poppins"/>
          <w:sz w:val="24"/>
          <w:szCs w:val="24"/>
          <w:lang w:val="en-US"/>
        </w:rPr>
        <w:t xml:space="preserve"> </w:t>
      </w:r>
      <w:r w:rsidR="008B1F0B" w:rsidRPr="006416ED">
        <w:rPr>
          <w:rFonts w:ascii="Poppins" w:hAnsi="Poppins" w:cs="Poppins"/>
          <w:sz w:val="24"/>
          <w:szCs w:val="24"/>
          <w:lang w:val="en-US"/>
        </w:rPr>
        <w:t xml:space="preserve">DOI: </w:t>
      </w:r>
      <w:r w:rsidR="008B1F0B">
        <w:fldChar w:fldCharType="begin"/>
      </w:r>
      <w:r w:rsidR="008B1F0B" w:rsidRPr="00EE0B07">
        <w:rPr>
          <w:lang w:val="en-US"/>
        </w:rPr>
        <w:instrText>HYPERLINK "https://doi.org/10.1007/978-3-658-38703-7_2"</w:instrText>
      </w:r>
      <w:r w:rsidR="008B1F0B">
        <w:fldChar w:fldCharType="separate"/>
      </w:r>
      <w:r w:rsidR="008B1F0B" w:rsidRPr="006416ED">
        <w:rPr>
          <w:rStyle w:val="Hyperlink"/>
          <w:rFonts w:ascii="Poppins" w:hAnsi="Poppins" w:cs="Poppins"/>
          <w:sz w:val="24"/>
          <w:szCs w:val="24"/>
          <w:shd w:val="clear" w:color="auto" w:fill="FFFFFF"/>
          <w:lang w:val="en-US"/>
        </w:rPr>
        <w:t>https://doi.org/10.1007/978-3-658-38703-7_2</w:t>
      </w:r>
      <w:r w:rsidR="008B1F0B">
        <w:rPr>
          <w:rStyle w:val="Hyperlink"/>
          <w:rFonts w:ascii="Poppins" w:hAnsi="Poppins" w:cs="Poppins"/>
          <w:sz w:val="24"/>
          <w:szCs w:val="24"/>
          <w:shd w:val="clear" w:color="auto" w:fill="FFFFFF"/>
          <w:lang w:val="en-US"/>
        </w:rPr>
        <w:fldChar w:fldCharType="end"/>
      </w:r>
      <w:r w:rsidR="008B1F0B" w:rsidRPr="006416ED">
        <w:rPr>
          <w:rFonts w:ascii="Merriweather Sans" w:hAnsi="Merriweather Sans"/>
          <w:color w:val="222222"/>
          <w:shd w:val="clear" w:color="auto" w:fill="FFFFFF"/>
          <w:lang w:val="en-US"/>
        </w:rPr>
        <w:t>.</w:t>
      </w:r>
    </w:p>
    <w:p w14:paraId="02619B65" w14:textId="77777777" w:rsidR="0040385C" w:rsidRPr="006416ED" w:rsidRDefault="00046E90" w:rsidP="009B614E">
      <w:pPr>
        <w:spacing w:before="240" w:line="360" w:lineRule="auto"/>
        <w:ind w:left="-20" w:right="-20"/>
        <w:rPr>
          <w:rFonts w:ascii="Poppins" w:eastAsia="Calibri" w:hAnsi="Poppins" w:cs="Poppins"/>
          <w:sz w:val="24"/>
          <w:szCs w:val="24"/>
          <w:lang w:val="en-US"/>
        </w:rPr>
      </w:pPr>
      <w:r w:rsidRPr="006416ED">
        <w:rPr>
          <w:rFonts w:ascii="Poppins" w:eastAsia="Calibri" w:hAnsi="Poppins" w:cs="Poppins"/>
          <w:b/>
          <w:bCs/>
          <w:sz w:val="24"/>
          <w:szCs w:val="24"/>
          <w:lang w:val="en-US"/>
        </w:rPr>
        <w:t>Peters, M. A. (2008).</w:t>
      </w:r>
      <w:r w:rsidRPr="006416ED">
        <w:rPr>
          <w:rFonts w:ascii="Poppins" w:eastAsia="Calibri" w:hAnsi="Poppins" w:cs="Poppins"/>
          <w:sz w:val="24"/>
          <w:szCs w:val="24"/>
          <w:lang w:val="en-US"/>
        </w:rPr>
        <w:t xml:space="preserve"> The history and emergent paradigm of open education. In Open education and education for openness (pp. 1-15). Brill.</w:t>
      </w:r>
    </w:p>
    <w:p w14:paraId="74A644AB" w14:textId="421CEE43" w:rsidR="008915A9" w:rsidRPr="00D1021A" w:rsidRDefault="008915A9" w:rsidP="009B614E">
      <w:pPr>
        <w:spacing w:before="240" w:line="360" w:lineRule="auto"/>
        <w:ind w:left="-20" w:right="-20"/>
        <w:rPr>
          <w:rFonts w:ascii="Poppins" w:eastAsia="Calibri" w:hAnsi="Poppins" w:cs="Poppins"/>
          <w:sz w:val="24"/>
          <w:szCs w:val="24"/>
        </w:rPr>
      </w:pPr>
      <w:r w:rsidRPr="006416ED">
        <w:rPr>
          <w:rFonts w:ascii="Poppins" w:hAnsi="Poppins" w:cs="Poppins"/>
          <w:b/>
          <w:bCs/>
          <w:sz w:val="24"/>
          <w:szCs w:val="24"/>
          <w:lang w:val="en-US"/>
        </w:rPr>
        <w:t>Read, T., &amp; Rodrigo, C. (2014).</w:t>
      </w:r>
      <w:r w:rsidRPr="006416ED">
        <w:rPr>
          <w:rFonts w:ascii="Poppins" w:hAnsi="Poppins" w:cs="Poppins"/>
          <w:sz w:val="24"/>
          <w:szCs w:val="24"/>
          <w:lang w:val="en-US"/>
        </w:rPr>
        <w:t xml:space="preserve"> Toward</w:t>
      </w:r>
      <w:r w:rsidR="00260A75" w:rsidRPr="006416ED">
        <w:rPr>
          <w:rFonts w:ascii="Poppins" w:hAnsi="Poppins" w:cs="Poppins"/>
          <w:sz w:val="24"/>
          <w:szCs w:val="24"/>
          <w:lang w:val="en-US"/>
        </w:rPr>
        <w:t>s</w:t>
      </w:r>
      <w:r w:rsidRPr="006416ED">
        <w:rPr>
          <w:rFonts w:ascii="Poppins" w:hAnsi="Poppins" w:cs="Poppins"/>
          <w:sz w:val="24"/>
          <w:szCs w:val="24"/>
          <w:lang w:val="en-US"/>
        </w:rPr>
        <w:t xml:space="preserve"> a quality model for UNED MOOCs. eLearning Papers. </w:t>
      </w:r>
      <w:r w:rsidRPr="006416ED">
        <w:rPr>
          <w:rFonts w:ascii="Poppins" w:hAnsi="Poppins" w:cs="Poppins"/>
          <w:i/>
          <w:iCs/>
          <w:sz w:val="24"/>
          <w:szCs w:val="24"/>
          <w:lang w:val="en-US"/>
        </w:rPr>
        <w:t>eLearning Papers</w:t>
      </w:r>
      <w:r w:rsidRPr="006416ED">
        <w:rPr>
          <w:rFonts w:ascii="Poppins" w:hAnsi="Poppins" w:cs="Poppins"/>
          <w:sz w:val="24"/>
          <w:szCs w:val="24"/>
          <w:lang w:val="en-US"/>
        </w:rPr>
        <w:t>.</w:t>
      </w:r>
      <w:r w:rsidR="0068013D" w:rsidRPr="006416ED">
        <w:rPr>
          <w:rFonts w:ascii="Poppins" w:hAnsi="Poppins" w:cs="Poppins"/>
          <w:sz w:val="24"/>
          <w:szCs w:val="24"/>
          <w:lang w:val="en-US"/>
        </w:rPr>
        <w:t xml:space="preserve"> </w:t>
      </w:r>
      <w:r w:rsidR="0068013D">
        <w:rPr>
          <w:rFonts w:ascii="Poppins" w:hAnsi="Poppins" w:cs="Poppins"/>
          <w:sz w:val="24"/>
          <w:szCs w:val="24"/>
        </w:rPr>
        <w:t xml:space="preserve">Online verfügbar unter: </w:t>
      </w:r>
      <w:hyperlink r:id="rId46" w:history="1">
        <w:r w:rsidR="0068013D">
          <w:rPr>
            <w:rStyle w:val="Hyperlink"/>
            <w:rFonts w:ascii="Poppins" w:hAnsi="Poppins" w:cs="Poppins"/>
            <w:sz w:val="24"/>
            <w:szCs w:val="24"/>
          </w:rPr>
          <w:t>https://www.academia.edu/18257691/Toward_a_quality_model_for_UNED_MOOCs</w:t>
        </w:r>
      </w:hyperlink>
      <w:r w:rsidR="0068013D" w:rsidRPr="0068013D">
        <w:rPr>
          <w:rFonts w:ascii="Poppins" w:hAnsi="Poppins" w:cs="Poppins"/>
          <w:sz w:val="24"/>
          <w:szCs w:val="24"/>
        </w:rPr>
        <w:t xml:space="preserve"> [12.09.24].</w:t>
      </w:r>
    </w:p>
    <w:p w14:paraId="75931534" w14:textId="11DFBDA7" w:rsidR="0040385C" w:rsidRPr="00D1021A" w:rsidRDefault="00046E90" w:rsidP="009B614E">
      <w:pPr>
        <w:spacing w:before="240" w:line="360" w:lineRule="auto"/>
        <w:ind w:left="-20" w:right="-20"/>
        <w:rPr>
          <w:rFonts w:ascii="Poppins" w:eastAsia="Calibri" w:hAnsi="Poppins" w:cs="Poppins"/>
          <w:bCs/>
          <w:sz w:val="24"/>
          <w:szCs w:val="24"/>
        </w:rPr>
      </w:pPr>
      <w:proofErr w:type="spellStart"/>
      <w:r w:rsidRPr="00D1021A">
        <w:rPr>
          <w:rFonts w:ascii="Poppins" w:hAnsi="Poppins" w:cs="Poppins"/>
          <w:b/>
          <w:bCs/>
          <w:sz w:val="24"/>
          <w:szCs w:val="24"/>
        </w:rPr>
        <w:t>Raehlmann</w:t>
      </w:r>
      <w:proofErr w:type="spellEnd"/>
      <w:r w:rsidRPr="00D1021A">
        <w:rPr>
          <w:rFonts w:ascii="Poppins" w:hAnsi="Poppins" w:cs="Poppins"/>
          <w:b/>
          <w:bCs/>
          <w:sz w:val="24"/>
          <w:szCs w:val="24"/>
        </w:rPr>
        <w:t>, I. (2022).</w:t>
      </w:r>
      <w:r w:rsidRPr="00D1021A">
        <w:rPr>
          <w:rFonts w:ascii="Poppins" w:hAnsi="Poppins" w:cs="Poppins"/>
          <w:sz w:val="24"/>
          <w:szCs w:val="24"/>
        </w:rPr>
        <w:t xml:space="preserve"> Corona-Pandemie</w:t>
      </w:r>
      <w:r w:rsidR="00260A75" w:rsidRPr="00D1021A">
        <w:rPr>
          <w:rFonts w:ascii="Poppins" w:eastAsia="Calibri" w:hAnsi="Poppins" w:cs="Poppins"/>
          <w:sz w:val="24"/>
          <w:szCs w:val="24"/>
        </w:rPr>
        <w:t>–</w:t>
      </w:r>
      <w:r w:rsidRPr="00D1021A">
        <w:rPr>
          <w:rFonts w:ascii="Poppins" w:hAnsi="Poppins" w:cs="Poppins"/>
          <w:sz w:val="24"/>
          <w:szCs w:val="24"/>
        </w:rPr>
        <w:t>die Folgen für die Arbeits-</w:t>
      </w:r>
      <w:r w:rsidR="00260A75" w:rsidRPr="00D1021A">
        <w:rPr>
          <w:rFonts w:ascii="Poppins" w:hAnsi="Poppins" w:cs="Poppins"/>
          <w:sz w:val="24"/>
          <w:szCs w:val="24"/>
        </w:rPr>
        <w:t xml:space="preserve"> </w:t>
      </w:r>
      <w:r w:rsidRPr="00D1021A">
        <w:rPr>
          <w:rFonts w:ascii="Poppins" w:hAnsi="Poppins" w:cs="Poppins"/>
          <w:sz w:val="24"/>
          <w:szCs w:val="24"/>
        </w:rPr>
        <w:t xml:space="preserve">und die Alltagswelt. </w:t>
      </w:r>
      <w:r w:rsidR="0068013D">
        <w:rPr>
          <w:rFonts w:ascii="Poppins" w:hAnsi="Poppins" w:cs="Poppins"/>
          <w:sz w:val="24"/>
          <w:szCs w:val="24"/>
        </w:rPr>
        <w:t xml:space="preserve">Wiesbaden: </w:t>
      </w:r>
      <w:r w:rsidRPr="00D1021A">
        <w:rPr>
          <w:rFonts w:ascii="Poppins" w:hAnsi="Poppins" w:cs="Poppins"/>
          <w:sz w:val="24"/>
          <w:szCs w:val="24"/>
        </w:rPr>
        <w:t>Springer VS.</w:t>
      </w:r>
      <w:r w:rsidR="0068013D">
        <w:rPr>
          <w:rFonts w:ascii="Poppins" w:hAnsi="Poppins" w:cs="Poppins"/>
          <w:sz w:val="24"/>
          <w:szCs w:val="24"/>
        </w:rPr>
        <w:t xml:space="preserve"> DOI: </w:t>
      </w:r>
      <w:hyperlink r:id="rId47" w:history="1">
        <w:r w:rsidR="0068013D" w:rsidRPr="0068013D">
          <w:rPr>
            <w:rStyle w:val="Hyperlink"/>
            <w:rFonts w:ascii="Poppins" w:hAnsi="Poppins" w:cs="Poppins"/>
            <w:sz w:val="24"/>
            <w:szCs w:val="24"/>
            <w:shd w:val="clear" w:color="auto" w:fill="FFFFFF"/>
          </w:rPr>
          <w:t>https://doi.org/10.1007/978-3-658-36816-6</w:t>
        </w:r>
      </w:hyperlink>
      <w:r w:rsidR="0068013D">
        <w:rPr>
          <w:rFonts w:ascii="Merriweather Sans" w:hAnsi="Merriweather Sans"/>
          <w:color w:val="222222"/>
          <w:shd w:val="clear" w:color="auto" w:fill="FFFFFF"/>
        </w:rPr>
        <w:t>.</w:t>
      </w:r>
    </w:p>
    <w:p w14:paraId="26A16FD8" w14:textId="32C2FE00" w:rsidR="0040385C" w:rsidRPr="00D1021A" w:rsidRDefault="00046E90" w:rsidP="009B614E">
      <w:pPr>
        <w:spacing w:before="240" w:line="360" w:lineRule="auto"/>
        <w:ind w:left="-20" w:right="-20"/>
        <w:rPr>
          <w:rFonts w:ascii="Poppins" w:hAnsi="Poppins" w:cs="Poppins"/>
          <w:sz w:val="24"/>
          <w:szCs w:val="24"/>
          <w14:ligatures w14:val="none"/>
        </w:rPr>
      </w:pPr>
      <w:r w:rsidRPr="00EE0B07">
        <w:rPr>
          <w:rFonts w:ascii="Poppins" w:hAnsi="Poppins" w:cs="Poppins"/>
          <w:b/>
          <w:bCs/>
          <w:sz w:val="24"/>
          <w:szCs w:val="24"/>
          <w:lang w:val="en-US"/>
        </w:rPr>
        <w:lastRenderedPageBreak/>
        <w:t>Redecker, C. &amp; Punie Y. (2017).</w:t>
      </w:r>
      <w:r w:rsidRPr="00EE0B07">
        <w:rPr>
          <w:rFonts w:ascii="Poppins" w:hAnsi="Poppins" w:cs="Poppins"/>
          <w:sz w:val="24"/>
          <w:szCs w:val="24"/>
          <w:lang w:val="en-US"/>
        </w:rPr>
        <w:t xml:space="preserve"> </w:t>
      </w:r>
      <w:r w:rsidRPr="006416ED">
        <w:rPr>
          <w:rFonts w:ascii="Poppins" w:hAnsi="Poppins" w:cs="Poppins"/>
          <w:sz w:val="24"/>
          <w:szCs w:val="24"/>
          <w:lang w:val="en-US"/>
        </w:rPr>
        <w:t>JRC SCIENCE FOR POLICY REPORT. European Framework for the Digital Competence of Educators (</w:t>
      </w:r>
      <w:proofErr w:type="spellStart"/>
      <w:r w:rsidRPr="006416ED">
        <w:rPr>
          <w:rFonts w:ascii="Poppins" w:hAnsi="Poppins" w:cs="Poppins"/>
          <w:sz w:val="24"/>
          <w:szCs w:val="24"/>
          <w:lang w:val="en-US"/>
        </w:rPr>
        <w:t>DigCompEdu</w:t>
      </w:r>
      <w:proofErr w:type="spellEnd"/>
      <w:r w:rsidRPr="006416ED">
        <w:rPr>
          <w:rFonts w:ascii="Poppins" w:hAnsi="Poppins" w:cs="Poppins"/>
          <w:sz w:val="24"/>
          <w:szCs w:val="24"/>
          <w:lang w:val="en-US"/>
        </w:rPr>
        <w:t xml:space="preserve">). </w:t>
      </w:r>
      <w:r w:rsidRPr="00D1021A">
        <w:rPr>
          <w:rFonts w:ascii="Poppins" w:hAnsi="Poppins" w:cs="Poppins"/>
          <w:sz w:val="24"/>
          <w:szCs w:val="24"/>
        </w:rPr>
        <w:t xml:space="preserve">Online verfügbar unter: </w:t>
      </w:r>
      <w:hyperlink r:id="rId48" w:history="1">
        <w:r w:rsidR="00CE6EE0" w:rsidRPr="00D1021A">
          <w:rPr>
            <w:rStyle w:val="Hyperlink"/>
            <w:rFonts w:ascii="Poppins" w:hAnsi="Poppins" w:cs="Poppins"/>
            <w:sz w:val="24"/>
            <w:szCs w:val="24"/>
          </w:rPr>
          <w:t>https://core.ac.uk/download/pdf/132627227.pdf</w:t>
        </w:r>
      </w:hyperlink>
      <w:r w:rsidR="00CE6EE0" w:rsidRPr="00D1021A">
        <w:rPr>
          <w:rFonts w:ascii="Poppins" w:hAnsi="Poppins" w:cs="Poppins"/>
          <w:sz w:val="24"/>
          <w:szCs w:val="24"/>
        </w:rPr>
        <w:t xml:space="preserve"> [</w:t>
      </w:r>
      <w:r w:rsidR="0068013D">
        <w:rPr>
          <w:rFonts w:ascii="Poppins" w:hAnsi="Poppins" w:cs="Poppins"/>
          <w:sz w:val="24"/>
          <w:szCs w:val="24"/>
        </w:rPr>
        <w:t>12</w:t>
      </w:r>
      <w:r w:rsidR="00CE6EE0" w:rsidRPr="00D1021A">
        <w:rPr>
          <w:rFonts w:ascii="Poppins" w:hAnsi="Poppins" w:cs="Poppins"/>
          <w:sz w:val="24"/>
          <w:szCs w:val="24"/>
        </w:rPr>
        <w:t>.09.2024]</w:t>
      </w:r>
      <w:r w:rsidR="000C2B5C" w:rsidRPr="00D1021A">
        <w:rPr>
          <w:rFonts w:ascii="Poppins" w:hAnsi="Poppins" w:cs="Poppins"/>
          <w:sz w:val="24"/>
          <w:szCs w:val="24"/>
        </w:rPr>
        <w:t>.</w:t>
      </w:r>
      <w:hyperlink w:history="1"/>
    </w:p>
    <w:p w14:paraId="1A4C76EE" w14:textId="2A4E455A" w:rsidR="0040385C" w:rsidRPr="00D1021A" w:rsidRDefault="00046E90" w:rsidP="009B614E">
      <w:pPr>
        <w:spacing w:before="240" w:line="360" w:lineRule="auto"/>
        <w:ind w:left="-20" w:right="-20"/>
        <w:rPr>
          <w:rFonts w:ascii="Poppins" w:hAnsi="Poppins" w:cs="Poppins"/>
          <w:sz w:val="24"/>
          <w:szCs w:val="24"/>
          <w14:ligatures w14:val="none"/>
        </w:rPr>
      </w:pPr>
      <w:r w:rsidRPr="00D1021A">
        <w:rPr>
          <w:rFonts w:ascii="Poppins" w:hAnsi="Poppins" w:cs="Poppins"/>
          <w:b/>
          <w:bCs/>
          <w:sz w:val="24"/>
          <w:szCs w:val="24"/>
        </w:rPr>
        <w:t xml:space="preserve">Reith, F.; </w:t>
      </w:r>
      <w:proofErr w:type="spellStart"/>
      <w:r w:rsidRPr="00D1021A">
        <w:rPr>
          <w:rFonts w:ascii="Poppins" w:hAnsi="Poppins" w:cs="Poppins"/>
          <w:b/>
          <w:bCs/>
          <w:sz w:val="24"/>
          <w:szCs w:val="24"/>
        </w:rPr>
        <w:t>Ditzel</w:t>
      </w:r>
      <w:proofErr w:type="spellEnd"/>
      <w:r w:rsidRPr="00D1021A">
        <w:rPr>
          <w:rFonts w:ascii="Poppins" w:hAnsi="Poppins" w:cs="Poppins"/>
          <w:b/>
          <w:bCs/>
          <w:sz w:val="24"/>
          <w:szCs w:val="24"/>
        </w:rPr>
        <w:t xml:space="preserve">, B.; Seyfried, M.; Steinhardt, I. &amp; Scheytt, T. (Eds.). (2019). </w:t>
      </w:r>
      <w:r w:rsidRPr="00D1021A">
        <w:rPr>
          <w:rFonts w:ascii="Poppins" w:hAnsi="Poppins" w:cs="Poppins"/>
          <w:sz w:val="24"/>
          <w:szCs w:val="24"/>
        </w:rPr>
        <w:t xml:space="preserve">Qualitätssicherung und Qualitätsmanagement an Hochschulen: Theoretische Perspektiven und Methoden. </w:t>
      </w:r>
      <w:r w:rsidR="0068013D">
        <w:rPr>
          <w:rFonts w:ascii="Poppins" w:hAnsi="Poppins" w:cs="Poppins"/>
          <w:sz w:val="24"/>
          <w:szCs w:val="24"/>
        </w:rPr>
        <w:t xml:space="preserve">Augsburg/ München: </w:t>
      </w:r>
      <w:r w:rsidRPr="00D1021A">
        <w:rPr>
          <w:rFonts w:ascii="Poppins" w:hAnsi="Poppins" w:cs="Poppins"/>
          <w:sz w:val="24"/>
          <w:szCs w:val="24"/>
        </w:rPr>
        <w:t>Rainer Hampp Verlag.</w:t>
      </w:r>
    </w:p>
    <w:p w14:paraId="027B4A8D" w14:textId="508496D8" w:rsidR="0040385C" w:rsidRPr="00D1021A" w:rsidRDefault="00046E90" w:rsidP="009B614E">
      <w:pPr>
        <w:spacing w:before="240" w:line="360" w:lineRule="auto"/>
        <w:ind w:left="-20" w:right="-20"/>
        <w:rPr>
          <w:rFonts w:ascii="Poppins" w:hAnsi="Poppins" w:cs="Poppins"/>
          <w:sz w:val="24"/>
          <w:szCs w:val="24"/>
        </w:rPr>
      </w:pPr>
      <w:r w:rsidRPr="00D1021A">
        <w:rPr>
          <w:rFonts w:ascii="Poppins" w:hAnsi="Poppins" w:cs="Poppins"/>
          <w:b/>
          <w:bCs/>
          <w:sz w:val="24"/>
          <w:szCs w:val="24"/>
        </w:rPr>
        <w:t>Rohlfs, C. (2011).</w:t>
      </w:r>
      <w:r w:rsidRPr="00D1021A">
        <w:rPr>
          <w:rFonts w:ascii="Poppins" w:hAnsi="Poppins" w:cs="Poppins"/>
          <w:sz w:val="24"/>
          <w:szCs w:val="24"/>
        </w:rPr>
        <w:t xml:space="preserve"> Bildungseinstellungen: Schule und formale Bildung aus der Perspektive von Schülerinnen und Schülern. </w:t>
      </w:r>
      <w:r w:rsidR="0068013D">
        <w:rPr>
          <w:rFonts w:ascii="Poppins" w:hAnsi="Poppins" w:cs="Poppins"/>
          <w:sz w:val="24"/>
          <w:szCs w:val="24"/>
        </w:rPr>
        <w:t>Wiesbaden: Verlag für Sozialwissenschaften</w:t>
      </w:r>
      <w:r w:rsidRPr="00D1021A">
        <w:rPr>
          <w:rFonts w:ascii="Poppins" w:hAnsi="Poppins" w:cs="Poppins"/>
          <w:sz w:val="24"/>
          <w:szCs w:val="24"/>
        </w:rPr>
        <w:t>.</w:t>
      </w:r>
      <w:r w:rsidR="0068013D">
        <w:rPr>
          <w:rFonts w:ascii="Poppins" w:hAnsi="Poppins" w:cs="Poppins"/>
          <w:sz w:val="24"/>
          <w:szCs w:val="24"/>
        </w:rPr>
        <w:t xml:space="preserve"> DOI: </w:t>
      </w:r>
      <w:hyperlink r:id="rId49" w:history="1">
        <w:r w:rsidR="0068013D" w:rsidRPr="0068013D">
          <w:rPr>
            <w:rStyle w:val="Hyperlink"/>
            <w:rFonts w:ascii="Poppins" w:hAnsi="Poppins" w:cs="Poppins"/>
            <w:sz w:val="24"/>
            <w:szCs w:val="24"/>
            <w:shd w:val="clear" w:color="auto" w:fill="FFFFFF"/>
          </w:rPr>
          <w:t>https://doi.org/10.1007/978-3-531-92811-1</w:t>
        </w:r>
      </w:hyperlink>
      <w:r w:rsidR="0068013D">
        <w:rPr>
          <w:rFonts w:ascii="Merriweather Sans" w:hAnsi="Merriweather Sans"/>
          <w:color w:val="222222"/>
          <w:shd w:val="clear" w:color="auto" w:fill="FFFFFF"/>
        </w:rPr>
        <w:t>.</w:t>
      </w:r>
    </w:p>
    <w:p w14:paraId="4EE7BEA4" w14:textId="6392F5FE" w:rsidR="0040385C" w:rsidRPr="00D1021A" w:rsidRDefault="00046E90" w:rsidP="009B614E">
      <w:pPr>
        <w:spacing w:before="240" w:line="360" w:lineRule="auto"/>
        <w:ind w:left="-20" w:right="-20"/>
        <w:rPr>
          <w:rFonts w:ascii="Poppins" w:hAnsi="Poppins" w:cs="Poppins"/>
          <w:sz w:val="24"/>
          <w:szCs w:val="24"/>
        </w:rPr>
      </w:pPr>
      <w:r w:rsidRPr="00D1021A">
        <w:rPr>
          <w:rFonts w:ascii="Poppins" w:hAnsi="Poppins" w:cs="Poppins"/>
          <w:b/>
          <w:bCs/>
          <w:sz w:val="24"/>
          <w:szCs w:val="24"/>
        </w:rPr>
        <w:t>Schrader, J. &amp; Brandt, P.</w:t>
      </w:r>
      <w:r w:rsidR="009176D6" w:rsidRPr="00D1021A">
        <w:rPr>
          <w:rFonts w:ascii="Poppins" w:hAnsi="Poppins" w:cs="Poppins"/>
          <w:b/>
          <w:bCs/>
          <w:sz w:val="24"/>
          <w:szCs w:val="24"/>
        </w:rPr>
        <w:t xml:space="preserve"> (20</w:t>
      </w:r>
      <w:r w:rsidRPr="00D1021A">
        <w:rPr>
          <w:rFonts w:ascii="Poppins" w:hAnsi="Poppins" w:cs="Poppins"/>
          <w:b/>
          <w:bCs/>
          <w:sz w:val="24"/>
          <w:szCs w:val="24"/>
        </w:rPr>
        <w:t>22)</w:t>
      </w:r>
      <w:r w:rsidRPr="00D1021A">
        <w:rPr>
          <w:rFonts w:ascii="Poppins" w:hAnsi="Poppins" w:cs="Poppins"/>
          <w:sz w:val="24"/>
          <w:szCs w:val="24"/>
        </w:rPr>
        <w:t xml:space="preserve">. </w:t>
      </w:r>
      <w:r w:rsidRPr="006416ED">
        <w:rPr>
          <w:rFonts w:ascii="Poppins" w:hAnsi="Poppins" w:cs="Poppins"/>
          <w:sz w:val="24"/>
          <w:szCs w:val="24"/>
          <w:lang w:val="en-US"/>
        </w:rPr>
        <w:t>Open Educational Resources - OER [</w:t>
      </w:r>
      <w:proofErr w:type="spellStart"/>
      <w:r w:rsidRPr="006416ED">
        <w:rPr>
          <w:rFonts w:ascii="Poppins" w:hAnsi="Poppins" w:cs="Poppins"/>
          <w:sz w:val="24"/>
          <w:szCs w:val="24"/>
          <w:lang w:val="en-US"/>
        </w:rPr>
        <w:t>Themenheft</w:t>
      </w:r>
      <w:proofErr w:type="spellEnd"/>
      <w:r w:rsidRPr="006416ED">
        <w:rPr>
          <w:rFonts w:ascii="Poppins" w:hAnsi="Poppins" w:cs="Poppins"/>
          <w:sz w:val="24"/>
          <w:szCs w:val="24"/>
          <w:lang w:val="en-US"/>
        </w:rPr>
        <w:t xml:space="preserve">]. </w:t>
      </w:r>
      <w:proofErr w:type="spellStart"/>
      <w:r w:rsidRPr="006416ED">
        <w:rPr>
          <w:rFonts w:ascii="Poppins" w:hAnsi="Poppins" w:cs="Poppins"/>
          <w:sz w:val="24"/>
          <w:szCs w:val="24"/>
          <w:lang w:val="en-US"/>
        </w:rPr>
        <w:t>weiterbilden</w:t>
      </w:r>
      <w:proofErr w:type="spellEnd"/>
      <w:r w:rsidRPr="006416ED">
        <w:rPr>
          <w:rFonts w:ascii="Poppins" w:hAnsi="Poppins" w:cs="Poppins"/>
          <w:sz w:val="24"/>
          <w:szCs w:val="24"/>
          <w:lang w:val="en-US"/>
        </w:rPr>
        <w:t xml:space="preserve">. </w:t>
      </w:r>
      <w:r w:rsidRPr="00D1021A">
        <w:rPr>
          <w:rFonts w:ascii="Poppins" w:hAnsi="Poppins" w:cs="Poppins"/>
          <w:sz w:val="24"/>
          <w:szCs w:val="24"/>
        </w:rPr>
        <w:t>DIE Zeitschrift für Erwachsenenbildung 29 (1).</w:t>
      </w:r>
      <w:r w:rsidR="008573F8" w:rsidRPr="00D1021A">
        <w:rPr>
          <w:rFonts w:ascii="Poppins" w:hAnsi="Poppins" w:cs="Poppins"/>
          <w:sz w:val="24"/>
          <w:szCs w:val="24"/>
        </w:rPr>
        <w:t xml:space="preserve"> Online verfügbar unter: </w:t>
      </w:r>
      <w:hyperlink r:id="rId50" w:history="1">
        <w:r w:rsidR="008573F8" w:rsidRPr="00D1021A">
          <w:rPr>
            <w:rStyle w:val="Hyperlink"/>
            <w:rFonts w:ascii="Poppins" w:hAnsi="Poppins" w:cs="Poppins"/>
            <w:sz w:val="24"/>
            <w:szCs w:val="24"/>
          </w:rPr>
          <w:t>https://www.die-bonn.de/doks/weiterbilden/2022/OER.pdf</w:t>
        </w:r>
      </w:hyperlink>
      <w:r w:rsidR="008573F8" w:rsidRPr="00D1021A">
        <w:rPr>
          <w:rFonts w:ascii="Poppins" w:hAnsi="Poppins" w:cs="Poppins"/>
          <w:sz w:val="24"/>
          <w:szCs w:val="24"/>
        </w:rPr>
        <w:t xml:space="preserve"> [</w:t>
      </w:r>
      <w:r w:rsidR="0068013D">
        <w:rPr>
          <w:rFonts w:ascii="Poppins" w:hAnsi="Poppins" w:cs="Poppins"/>
          <w:sz w:val="24"/>
          <w:szCs w:val="24"/>
        </w:rPr>
        <w:t>12</w:t>
      </w:r>
      <w:r w:rsidR="008573F8" w:rsidRPr="00D1021A">
        <w:rPr>
          <w:rFonts w:ascii="Poppins" w:hAnsi="Poppins" w:cs="Poppins"/>
          <w:sz w:val="24"/>
          <w:szCs w:val="24"/>
        </w:rPr>
        <w:t>.09.2024]</w:t>
      </w:r>
      <w:r w:rsidR="000C2B5C" w:rsidRPr="00D1021A">
        <w:rPr>
          <w:rFonts w:ascii="Poppins" w:hAnsi="Poppins" w:cs="Poppins"/>
          <w:sz w:val="24"/>
          <w:szCs w:val="24"/>
        </w:rPr>
        <w:t>.</w:t>
      </w:r>
    </w:p>
    <w:p w14:paraId="788DFAD5" w14:textId="79A2C367" w:rsidR="008B7822" w:rsidRPr="00D1021A" w:rsidRDefault="008B7822" w:rsidP="008B7822">
      <w:pPr>
        <w:spacing w:before="240" w:line="360" w:lineRule="auto"/>
        <w:ind w:left="-20" w:right="-20"/>
        <w:rPr>
          <w:rFonts w:ascii="Poppins" w:hAnsi="Poppins" w:cs="Poppins"/>
          <w:sz w:val="24"/>
          <w:szCs w:val="24"/>
        </w:rPr>
      </w:pPr>
      <w:r w:rsidRPr="00D1021A">
        <w:rPr>
          <w:rFonts w:ascii="Poppins" w:hAnsi="Poppins" w:cs="Poppins"/>
          <w:b/>
          <w:bCs/>
          <w:sz w:val="24"/>
          <w:szCs w:val="24"/>
        </w:rPr>
        <w:t xml:space="preserve">Schröder, L., Mudder, L., </w:t>
      </w:r>
      <w:proofErr w:type="gramStart"/>
      <w:r w:rsidRPr="00D1021A">
        <w:rPr>
          <w:rFonts w:ascii="Poppins" w:hAnsi="Poppins" w:cs="Poppins"/>
          <w:b/>
          <w:bCs/>
          <w:sz w:val="24"/>
          <w:szCs w:val="24"/>
        </w:rPr>
        <w:t>Rau</w:t>
      </w:r>
      <w:proofErr w:type="gramEnd"/>
      <w:r w:rsidRPr="00D1021A">
        <w:rPr>
          <w:rFonts w:ascii="Poppins" w:hAnsi="Poppins" w:cs="Poppins"/>
          <w:b/>
          <w:bCs/>
          <w:sz w:val="24"/>
          <w:szCs w:val="24"/>
        </w:rPr>
        <w:t>, F., Vierbuchen, M. C., Schorer, S., &amp; Hillenbrand, C. (2023).</w:t>
      </w:r>
      <w:r w:rsidRPr="00D1021A">
        <w:rPr>
          <w:rFonts w:ascii="Poppins" w:hAnsi="Poppins" w:cs="Poppins"/>
          <w:sz w:val="24"/>
          <w:szCs w:val="24"/>
        </w:rPr>
        <w:t xml:space="preserve"> OER erfolgreich in der Lehrkräftebildung einsetzen: Ein Praxisbericht. </w:t>
      </w:r>
      <w:proofErr w:type="gramStart"/>
      <w:r w:rsidRPr="00D1021A">
        <w:rPr>
          <w:rFonts w:ascii="Poppins" w:hAnsi="Poppins" w:cs="Poppins"/>
          <w:sz w:val="24"/>
          <w:szCs w:val="24"/>
        </w:rPr>
        <w:t>k:ON</w:t>
      </w:r>
      <w:proofErr w:type="gramEnd"/>
      <w:r w:rsidRPr="00D1021A">
        <w:rPr>
          <w:rFonts w:ascii="Poppins" w:hAnsi="Poppins" w:cs="Poppins"/>
          <w:sz w:val="24"/>
          <w:szCs w:val="24"/>
        </w:rPr>
        <w:t>-Kölner Online Journal für Lehrer*</w:t>
      </w:r>
      <w:proofErr w:type="spellStart"/>
      <w:r w:rsidRPr="00D1021A">
        <w:rPr>
          <w:rFonts w:ascii="Poppins" w:hAnsi="Poppins" w:cs="Poppins"/>
          <w:sz w:val="24"/>
          <w:szCs w:val="24"/>
        </w:rPr>
        <w:t>innenbildung</w:t>
      </w:r>
      <w:proofErr w:type="spellEnd"/>
      <w:r w:rsidRPr="00D1021A">
        <w:rPr>
          <w:rFonts w:ascii="Poppins" w:hAnsi="Poppins" w:cs="Poppins"/>
          <w:sz w:val="24"/>
          <w:szCs w:val="24"/>
        </w:rPr>
        <w:t>, 7(7/2023), S. 243-261.</w:t>
      </w:r>
      <w:r w:rsidR="00D26CFB" w:rsidRPr="00D1021A">
        <w:rPr>
          <w:rFonts w:ascii="Poppins" w:hAnsi="Poppins" w:cs="Poppins"/>
          <w:sz w:val="24"/>
          <w:szCs w:val="24"/>
        </w:rPr>
        <w:t xml:space="preserve"> Online verfügbar unter: </w:t>
      </w:r>
      <w:hyperlink r:id="rId51" w:history="1">
        <w:r w:rsidR="00D26CFB" w:rsidRPr="00D1021A">
          <w:rPr>
            <w:rStyle w:val="Hyperlink"/>
            <w:rFonts w:ascii="Poppins" w:hAnsi="Poppins" w:cs="Poppins"/>
            <w:sz w:val="24"/>
            <w:szCs w:val="24"/>
          </w:rPr>
          <w:t>https://journals.ub.uni-koeln.de/index.php/k_ON/article/view/1720/2345</w:t>
        </w:r>
      </w:hyperlink>
      <w:r w:rsidR="00D26CFB" w:rsidRPr="00D1021A">
        <w:rPr>
          <w:rFonts w:ascii="Poppins" w:hAnsi="Poppins" w:cs="Poppins"/>
          <w:sz w:val="24"/>
          <w:szCs w:val="24"/>
        </w:rPr>
        <w:t xml:space="preserve"> [</w:t>
      </w:r>
      <w:r w:rsidR="0068013D">
        <w:rPr>
          <w:rFonts w:ascii="Poppins" w:hAnsi="Poppins" w:cs="Poppins"/>
          <w:sz w:val="24"/>
          <w:szCs w:val="24"/>
        </w:rPr>
        <w:t>12</w:t>
      </w:r>
      <w:r w:rsidR="00D26CFB" w:rsidRPr="00D1021A">
        <w:rPr>
          <w:rFonts w:ascii="Poppins" w:hAnsi="Poppins" w:cs="Poppins"/>
          <w:sz w:val="24"/>
          <w:szCs w:val="24"/>
        </w:rPr>
        <w:t>.09.2024]</w:t>
      </w:r>
      <w:r w:rsidR="000C2B5C" w:rsidRPr="00D1021A">
        <w:rPr>
          <w:rFonts w:ascii="Poppins" w:hAnsi="Poppins" w:cs="Poppins"/>
          <w:sz w:val="24"/>
          <w:szCs w:val="24"/>
        </w:rPr>
        <w:t>.</w:t>
      </w:r>
    </w:p>
    <w:p w14:paraId="3F9EA495" w14:textId="725E7851" w:rsidR="00CE6EE0" w:rsidRPr="00D1021A" w:rsidRDefault="009176D6" w:rsidP="00854183">
      <w:pPr>
        <w:spacing w:before="240" w:line="360" w:lineRule="auto"/>
        <w:ind w:left="-20" w:right="-20"/>
        <w:rPr>
          <w:rFonts w:ascii="Poppins" w:hAnsi="Poppins" w:cs="Poppins"/>
          <w:sz w:val="24"/>
          <w:szCs w:val="24"/>
        </w:rPr>
      </w:pPr>
      <w:r w:rsidRPr="00D1021A">
        <w:rPr>
          <w:rFonts w:ascii="Poppins" w:hAnsi="Poppins" w:cs="Poppins"/>
          <w:b/>
          <w:bCs/>
          <w:sz w:val="24"/>
          <w:szCs w:val="24"/>
        </w:rPr>
        <w:t>Schünemann, I. &amp; Budde, J. (2018).</w:t>
      </w:r>
      <w:r w:rsidRPr="00D1021A">
        <w:rPr>
          <w:rFonts w:ascii="Poppins" w:hAnsi="Poppins" w:cs="Poppins"/>
          <w:sz w:val="24"/>
          <w:szCs w:val="24"/>
        </w:rPr>
        <w:t xml:space="preserve"> </w:t>
      </w:r>
      <w:r w:rsidR="00FB6A82" w:rsidRPr="00D1021A">
        <w:rPr>
          <w:rFonts w:ascii="Poppins" w:hAnsi="Poppins" w:cs="Poppins"/>
          <w:sz w:val="24"/>
          <w:szCs w:val="24"/>
        </w:rPr>
        <w:t xml:space="preserve">Hochschulstrategien für die Lehre im digitalen Zeitalter. Hochschulforum Digitalisierung Arbeitspapier 38 (2018). </w:t>
      </w:r>
      <w:r w:rsidR="008573F8" w:rsidRPr="00D1021A">
        <w:rPr>
          <w:rFonts w:ascii="Poppins" w:hAnsi="Poppins" w:cs="Poppins"/>
          <w:sz w:val="24"/>
          <w:szCs w:val="24"/>
        </w:rPr>
        <w:t>Online verfügbar unter:</w:t>
      </w:r>
      <w:r w:rsidR="00FB6A82" w:rsidRPr="00D1021A">
        <w:rPr>
          <w:rFonts w:ascii="Poppins" w:hAnsi="Poppins" w:cs="Poppins"/>
          <w:sz w:val="24"/>
          <w:szCs w:val="24"/>
        </w:rPr>
        <w:t xml:space="preserve"> </w:t>
      </w:r>
      <w:hyperlink r:id="rId52" w:history="1">
        <w:r w:rsidR="0063008B" w:rsidRPr="00D1021A">
          <w:rPr>
            <w:rStyle w:val="Hyperlink"/>
            <w:rFonts w:ascii="Poppins" w:hAnsi="Poppins" w:cs="Poppins"/>
            <w:sz w:val="24"/>
            <w:szCs w:val="24"/>
          </w:rPr>
          <w:t>https://hochschulforumdigitalisierung.de/sites/default/files/dateien/HFD_AP_Nr38%20Empfehlungen_Strategieentwicklung_WEB.pdf</w:t>
        </w:r>
      </w:hyperlink>
      <w:r w:rsidR="008573F8" w:rsidRPr="00D1021A">
        <w:rPr>
          <w:rFonts w:ascii="Poppins" w:hAnsi="Poppins" w:cs="Poppins"/>
          <w:sz w:val="24"/>
          <w:szCs w:val="24"/>
        </w:rPr>
        <w:t xml:space="preserve"> [</w:t>
      </w:r>
      <w:r w:rsidR="0068013D">
        <w:rPr>
          <w:rFonts w:ascii="Poppins" w:hAnsi="Poppins" w:cs="Poppins"/>
          <w:sz w:val="24"/>
          <w:szCs w:val="24"/>
        </w:rPr>
        <w:t>12</w:t>
      </w:r>
      <w:r w:rsidR="008573F8" w:rsidRPr="00D1021A">
        <w:rPr>
          <w:rFonts w:ascii="Poppins" w:hAnsi="Poppins" w:cs="Poppins"/>
          <w:sz w:val="24"/>
          <w:szCs w:val="24"/>
        </w:rPr>
        <w:t>.09.2024]</w:t>
      </w:r>
      <w:r w:rsidR="000C2B5C" w:rsidRPr="00D1021A">
        <w:rPr>
          <w:rFonts w:ascii="Poppins" w:hAnsi="Poppins" w:cs="Poppins"/>
          <w:sz w:val="24"/>
          <w:szCs w:val="24"/>
        </w:rPr>
        <w:t>.</w:t>
      </w:r>
    </w:p>
    <w:p w14:paraId="7F25BE1C" w14:textId="56741D8E" w:rsidR="00854183" w:rsidRPr="006416ED" w:rsidRDefault="00854183" w:rsidP="00854183">
      <w:pPr>
        <w:spacing w:before="240" w:line="360" w:lineRule="auto"/>
        <w:ind w:left="-20" w:right="-20"/>
        <w:rPr>
          <w:rFonts w:ascii="Poppins" w:hAnsi="Poppins" w:cs="Poppins"/>
          <w:sz w:val="24"/>
          <w:szCs w:val="24"/>
          <w:lang w:val="en-US"/>
        </w:rPr>
      </w:pPr>
      <w:r w:rsidRPr="006416ED">
        <w:rPr>
          <w:rFonts w:ascii="Poppins" w:hAnsi="Poppins" w:cs="Poppins"/>
          <w:b/>
          <w:bCs/>
          <w:sz w:val="24"/>
          <w:szCs w:val="24"/>
          <w:lang w:val="en-US"/>
        </w:rPr>
        <w:t>Shewhart, W. A. (1939).</w:t>
      </w:r>
      <w:r w:rsidRPr="006416ED">
        <w:rPr>
          <w:rFonts w:ascii="Poppins" w:hAnsi="Poppins" w:cs="Poppins"/>
          <w:sz w:val="24"/>
          <w:szCs w:val="24"/>
          <w:lang w:val="en-US"/>
        </w:rPr>
        <w:t xml:space="preserve"> Statistical method from the viewpoint of quality control. Washington DC: The Graduate School / The Department of Agriculture.</w:t>
      </w:r>
    </w:p>
    <w:p w14:paraId="2B8974FF" w14:textId="1A00ADBD" w:rsidR="0040385C" w:rsidRPr="00D1021A" w:rsidRDefault="00046E90" w:rsidP="009B614E">
      <w:pPr>
        <w:spacing w:before="240" w:line="360" w:lineRule="auto"/>
        <w:ind w:left="-20" w:right="-20"/>
        <w:rPr>
          <w:rFonts w:ascii="Poppins" w:hAnsi="Poppins" w:cs="Poppins"/>
          <w:sz w:val="24"/>
          <w:szCs w:val="24"/>
        </w:rPr>
      </w:pPr>
      <w:r w:rsidRPr="006416ED">
        <w:rPr>
          <w:rFonts w:ascii="Poppins" w:hAnsi="Poppins" w:cs="Poppins"/>
          <w:b/>
          <w:bCs/>
          <w:sz w:val="24"/>
          <w:szCs w:val="24"/>
          <w:lang w:val="en-US"/>
        </w:rPr>
        <w:t>Speiser, G. (2022).</w:t>
      </w:r>
      <w:r w:rsidRPr="006416ED">
        <w:rPr>
          <w:rFonts w:ascii="Poppins" w:hAnsi="Poppins" w:cs="Poppins"/>
          <w:sz w:val="24"/>
          <w:szCs w:val="24"/>
          <w:lang w:val="en-US"/>
        </w:rPr>
        <w:t xml:space="preserve"> </w:t>
      </w:r>
      <w:r w:rsidRPr="00D1021A">
        <w:rPr>
          <w:rFonts w:ascii="Poppins" w:hAnsi="Poppins" w:cs="Poppins"/>
          <w:sz w:val="24"/>
          <w:szCs w:val="24"/>
        </w:rPr>
        <w:t xml:space="preserve">Wissenschaftsfreiheit im Grundgesetz. In: </w:t>
      </w:r>
      <w:r w:rsidRPr="00D1021A">
        <w:rPr>
          <w:rStyle w:val="Hervorhebung"/>
          <w:rFonts w:ascii="Poppins" w:hAnsi="Poppins" w:cs="Poppins"/>
          <w:i w:val="0"/>
          <w:iCs w:val="0"/>
          <w:sz w:val="24"/>
          <w:szCs w:val="24"/>
        </w:rPr>
        <w:t>Wissenschaftsrecht</w:t>
      </w:r>
      <w:r w:rsidRPr="00D1021A">
        <w:rPr>
          <w:rFonts w:ascii="Poppins" w:hAnsi="Poppins" w:cs="Poppins"/>
          <w:sz w:val="24"/>
          <w:szCs w:val="24"/>
        </w:rPr>
        <w:t xml:space="preserve"> (pp. 61-82). Berlin, Heidelberg: Springer </w:t>
      </w:r>
      <w:r w:rsidR="0068013D">
        <w:rPr>
          <w:rFonts w:ascii="Poppins" w:hAnsi="Poppins" w:cs="Poppins"/>
          <w:sz w:val="24"/>
          <w:szCs w:val="24"/>
        </w:rPr>
        <w:t xml:space="preserve">Verlag. DOI: </w:t>
      </w:r>
      <w:hyperlink r:id="rId53" w:history="1">
        <w:r w:rsidR="0068013D" w:rsidRPr="0068013D">
          <w:rPr>
            <w:rStyle w:val="Hyperlink"/>
            <w:rFonts w:ascii="Poppins" w:hAnsi="Poppins" w:cs="Poppins"/>
            <w:sz w:val="24"/>
            <w:szCs w:val="24"/>
            <w:shd w:val="clear" w:color="auto" w:fill="FFFFFF"/>
          </w:rPr>
          <w:t>https://doi.org/10.1007/978-3-662-64722-6_4</w:t>
        </w:r>
      </w:hyperlink>
      <w:r w:rsidR="0068013D">
        <w:rPr>
          <w:rFonts w:ascii="Poppins" w:hAnsi="Poppins" w:cs="Poppins"/>
          <w:sz w:val="24"/>
          <w:szCs w:val="24"/>
        </w:rPr>
        <w:t>.</w:t>
      </w:r>
    </w:p>
    <w:p w14:paraId="19D9B7FE" w14:textId="58EFB619" w:rsidR="00B007EA" w:rsidRPr="006416ED" w:rsidRDefault="00B007EA" w:rsidP="009B614E">
      <w:pPr>
        <w:spacing w:before="240" w:line="360" w:lineRule="auto"/>
        <w:ind w:left="-20" w:right="-20"/>
        <w:rPr>
          <w:rFonts w:ascii="Poppins" w:hAnsi="Poppins" w:cs="Poppins"/>
          <w:b/>
          <w:bCs/>
          <w:sz w:val="24"/>
          <w:szCs w:val="24"/>
          <w:lang w:val="en-US"/>
        </w:rPr>
      </w:pPr>
      <w:proofErr w:type="spellStart"/>
      <w:r w:rsidRPr="00D1021A">
        <w:rPr>
          <w:rFonts w:ascii="Poppins" w:hAnsi="Poppins" w:cs="Poppins"/>
          <w:b/>
          <w:bCs/>
          <w:sz w:val="24"/>
          <w:szCs w:val="24"/>
        </w:rPr>
        <w:t>Sternad</w:t>
      </w:r>
      <w:proofErr w:type="spellEnd"/>
      <w:r w:rsidRPr="00D1021A">
        <w:rPr>
          <w:rFonts w:ascii="Poppins" w:hAnsi="Poppins" w:cs="Poppins"/>
          <w:b/>
          <w:bCs/>
          <w:sz w:val="24"/>
          <w:szCs w:val="24"/>
        </w:rPr>
        <w:t xml:space="preserve">, D., &amp; </w:t>
      </w:r>
      <w:proofErr w:type="spellStart"/>
      <w:r w:rsidRPr="00D1021A">
        <w:rPr>
          <w:rFonts w:ascii="Poppins" w:hAnsi="Poppins" w:cs="Poppins"/>
          <w:b/>
          <w:bCs/>
          <w:sz w:val="24"/>
          <w:szCs w:val="24"/>
        </w:rPr>
        <w:t>Mödritscher</w:t>
      </w:r>
      <w:proofErr w:type="spellEnd"/>
      <w:r w:rsidRPr="00D1021A">
        <w:rPr>
          <w:rFonts w:ascii="Poppins" w:hAnsi="Poppins" w:cs="Poppins"/>
          <w:b/>
          <w:bCs/>
          <w:sz w:val="24"/>
          <w:szCs w:val="24"/>
        </w:rPr>
        <w:t xml:space="preserve">, G. (2018). </w:t>
      </w:r>
      <w:r w:rsidRPr="00D1021A">
        <w:rPr>
          <w:rFonts w:ascii="Poppins" w:hAnsi="Poppins" w:cs="Poppins"/>
          <w:sz w:val="24"/>
          <w:szCs w:val="24"/>
        </w:rPr>
        <w:t xml:space="preserve">Qualitatives Wachstum. </w:t>
      </w:r>
      <w:r w:rsidR="0068013D">
        <w:rPr>
          <w:rFonts w:ascii="Poppins" w:hAnsi="Poppins" w:cs="Poppins"/>
          <w:sz w:val="24"/>
          <w:szCs w:val="24"/>
        </w:rPr>
        <w:t xml:space="preserve">Wiesbaden: </w:t>
      </w:r>
      <w:r w:rsidRPr="00D1021A">
        <w:rPr>
          <w:rFonts w:ascii="Poppins" w:hAnsi="Poppins" w:cs="Poppins"/>
          <w:sz w:val="24"/>
          <w:szCs w:val="24"/>
        </w:rPr>
        <w:t>Springer Fachmedien</w:t>
      </w:r>
      <w:r w:rsidR="0068013D">
        <w:rPr>
          <w:rFonts w:ascii="Poppins" w:hAnsi="Poppins" w:cs="Poppins"/>
          <w:sz w:val="24"/>
          <w:szCs w:val="24"/>
        </w:rPr>
        <w:t xml:space="preserve"> Verlag</w:t>
      </w:r>
      <w:r w:rsidRPr="00D1021A">
        <w:rPr>
          <w:rFonts w:ascii="Poppins" w:hAnsi="Poppins" w:cs="Poppins"/>
          <w:sz w:val="24"/>
          <w:szCs w:val="24"/>
        </w:rPr>
        <w:t>.</w:t>
      </w:r>
      <w:r w:rsidR="0068013D">
        <w:rPr>
          <w:rFonts w:ascii="Poppins" w:hAnsi="Poppins" w:cs="Poppins"/>
          <w:sz w:val="24"/>
          <w:szCs w:val="24"/>
        </w:rPr>
        <w:t xml:space="preserve"> </w:t>
      </w:r>
      <w:r w:rsidR="0068013D" w:rsidRPr="006416ED">
        <w:rPr>
          <w:rFonts w:ascii="Poppins" w:hAnsi="Poppins" w:cs="Poppins"/>
          <w:sz w:val="24"/>
          <w:szCs w:val="24"/>
          <w:lang w:val="en-US"/>
        </w:rPr>
        <w:t xml:space="preserve">DOI: </w:t>
      </w:r>
      <w:r w:rsidR="0068013D">
        <w:fldChar w:fldCharType="begin"/>
      </w:r>
      <w:r w:rsidR="0068013D" w:rsidRPr="00EE0B07">
        <w:rPr>
          <w:lang w:val="en-US"/>
        </w:rPr>
        <w:instrText>HYPERLINK "https://doi.org/10.1007/978-3-658-18880-1"</w:instrText>
      </w:r>
      <w:r w:rsidR="0068013D">
        <w:fldChar w:fldCharType="separate"/>
      </w:r>
      <w:r w:rsidR="0068013D" w:rsidRPr="006416ED">
        <w:rPr>
          <w:rStyle w:val="Hyperlink"/>
          <w:rFonts w:ascii="Poppins" w:hAnsi="Poppins" w:cs="Poppins"/>
          <w:sz w:val="24"/>
          <w:szCs w:val="24"/>
          <w:shd w:val="clear" w:color="auto" w:fill="FFFFFF"/>
          <w:lang w:val="en-US"/>
        </w:rPr>
        <w:t>https://doi.org/10.1007/978-3-658-18880-1</w:t>
      </w:r>
      <w:r w:rsidR="0068013D">
        <w:rPr>
          <w:rStyle w:val="Hyperlink"/>
          <w:rFonts w:ascii="Poppins" w:hAnsi="Poppins" w:cs="Poppins"/>
          <w:sz w:val="24"/>
          <w:szCs w:val="24"/>
          <w:shd w:val="clear" w:color="auto" w:fill="FFFFFF"/>
          <w:lang w:val="en-US"/>
        </w:rPr>
        <w:fldChar w:fldCharType="end"/>
      </w:r>
      <w:r w:rsidR="0068013D" w:rsidRPr="006416ED">
        <w:rPr>
          <w:rFonts w:ascii="Poppins" w:hAnsi="Poppins" w:cs="Poppins"/>
          <w:color w:val="222222"/>
          <w:sz w:val="24"/>
          <w:szCs w:val="24"/>
          <w:shd w:val="clear" w:color="auto" w:fill="FFFFFF"/>
          <w:lang w:val="en-US"/>
        </w:rPr>
        <w:t>.</w:t>
      </w:r>
    </w:p>
    <w:p w14:paraId="535A15D4" w14:textId="46387A43" w:rsidR="0040385C" w:rsidRPr="00D1021A" w:rsidRDefault="00046E90" w:rsidP="009B614E">
      <w:pPr>
        <w:spacing w:before="240" w:line="360" w:lineRule="auto"/>
        <w:ind w:left="-20" w:right="-20"/>
        <w:rPr>
          <w:rFonts w:ascii="Poppins" w:hAnsi="Poppins" w:cs="Poppins"/>
          <w:sz w:val="24"/>
          <w:szCs w:val="24"/>
        </w:rPr>
      </w:pPr>
      <w:r w:rsidRPr="006416ED">
        <w:rPr>
          <w:rFonts w:ascii="Poppins" w:hAnsi="Poppins" w:cs="Poppins"/>
          <w:b/>
          <w:bCs/>
          <w:sz w:val="24"/>
          <w:szCs w:val="24"/>
          <w:lang w:val="en-US"/>
        </w:rPr>
        <w:t>Stracke, C. M. (Ed.). (2013).</w:t>
      </w:r>
      <w:r w:rsidRPr="006416ED">
        <w:rPr>
          <w:rFonts w:ascii="Poppins" w:hAnsi="Poppins" w:cs="Poppins"/>
          <w:sz w:val="24"/>
          <w:szCs w:val="24"/>
          <w:lang w:val="en-US"/>
        </w:rPr>
        <w:t xml:space="preserve"> Learning Innovations and Quality:" the Future of Digital </w:t>
      </w:r>
      <w:proofErr w:type="gramStart"/>
      <w:r w:rsidRPr="006416ED">
        <w:rPr>
          <w:rFonts w:ascii="Poppins" w:hAnsi="Poppins" w:cs="Poppins"/>
          <w:sz w:val="24"/>
          <w:szCs w:val="24"/>
          <w:lang w:val="en-US"/>
        </w:rPr>
        <w:t>Resources''</w:t>
      </w:r>
      <w:proofErr w:type="gramEnd"/>
      <w:r w:rsidRPr="006416ED">
        <w:rPr>
          <w:rFonts w:ascii="Poppins" w:hAnsi="Poppins" w:cs="Poppins"/>
          <w:sz w:val="24"/>
          <w:szCs w:val="24"/>
          <w:lang w:val="en-US"/>
        </w:rPr>
        <w:t xml:space="preserve">. </w:t>
      </w:r>
      <w:r w:rsidR="0068013D">
        <w:rPr>
          <w:rFonts w:ascii="Poppins" w:hAnsi="Poppins" w:cs="Poppins"/>
          <w:sz w:val="24"/>
          <w:szCs w:val="24"/>
        </w:rPr>
        <w:t xml:space="preserve">Berlin: </w:t>
      </w:r>
      <w:r w:rsidRPr="00D1021A">
        <w:rPr>
          <w:rFonts w:ascii="Poppins" w:hAnsi="Poppins" w:cs="Poppins"/>
          <w:sz w:val="24"/>
          <w:szCs w:val="24"/>
        </w:rPr>
        <w:t>Logos-Verlag.</w:t>
      </w:r>
    </w:p>
    <w:p w14:paraId="420452E3" w14:textId="05FD5593" w:rsidR="0040385C" w:rsidRPr="00D1021A" w:rsidRDefault="00046E90" w:rsidP="009B614E">
      <w:pPr>
        <w:spacing w:before="240" w:line="360" w:lineRule="auto"/>
        <w:ind w:left="-20" w:right="-20"/>
        <w:rPr>
          <w:rFonts w:ascii="Poppins" w:hAnsi="Poppins" w:cs="Poppins"/>
          <w:sz w:val="24"/>
          <w:szCs w:val="24"/>
        </w:rPr>
      </w:pPr>
      <w:r w:rsidRPr="00D1021A">
        <w:rPr>
          <w:rFonts w:ascii="Poppins" w:hAnsi="Poppins" w:cs="Poppins"/>
          <w:b/>
          <w:bCs/>
          <w:sz w:val="24"/>
          <w:szCs w:val="24"/>
        </w:rPr>
        <w:t>Thom, N. &amp; Meier J. D. (2019).</w:t>
      </w:r>
      <w:r w:rsidRPr="00D1021A">
        <w:rPr>
          <w:rFonts w:ascii="Poppins" w:hAnsi="Poppins" w:cs="Poppins"/>
          <w:sz w:val="24"/>
          <w:szCs w:val="24"/>
        </w:rPr>
        <w:t xml:space="preserve"> Qualitätsmanagement an Universitäten. Vom Novum zum Normalfall. Um Qualität an Hochschulen zu sichern und zu fördern, ist ein universitäres Qualitätsmanagement unerlässlich. Welche Instrumente stehen zur Verfügung? Online verfügbar unter: </w:t>
      </w:r>
      <w:hyperlink r:id="rId54" w:history="1">
        <w:r w:rsidR="0068013D">
          <w:rPr>
            <w:rStyle w:val="Hyperlink"/>
            <w:rFonts w:ascii="Poppins" w:hAnsi="Poppins" w:cs="Poppins"/>
            <w:sz w:val="24"/>
            <w:szCs w:val="24"/>
          </w:rPr>
          <w:t>https://www.forschung-und-lehre.de/management/vom-novum-zum-normalfall-338</w:t>
        </w:r>
      </w:hyperlink>
      <w:r w:rsidRPr="00D1021A">
        <w:rPr>
          <w:rFonts w:ascii="Poppins" w:hAnsi="Poppins" w:cs="Poppins"/>
          <w:sz w:val="24"/>
          <w:szCs w:val="24"/>
        </w:rPr>
        <w:t xml:space="preserve"> </w:t>
      </w:r>
      <w:r w:rsidRPr="00D1021A">
        <w:rPr>
          <w:rFonts w:ascii="Poppins" w:eastAsia="Calibri" w:hAnsi="Poppins" w:cs="Poppins"/>
          <w:sz w:val="24"/>
          <w:szCs w:val="24"/>
        </w:rPr>
        <w:t>[</w:t>
      </w:r>
      <w:r w:rsidR="0068013D">
        <w:rPr>
          <w:rFonts w:ascii="Poppins" w:eastAsia="Calibri" w:hAnsi="Poppins" w:cs="Poppins"/>
          <w:sz w:val="24"/>
          <w:szCs w:val="24"/>
        </w:rPr>
        <w:t>1</w:t>
      </w:r>
      <w:r w:rsidRPr="00D1021A">
        <w:rPr>
          <w:rFonts w:ascii="Poppins" w:eastAsia="Calibri" w:hAnsi="Poppins" w:cs="Poppins"/>
          <w:sz w:val="24"/>
          <w:szCs w:val="24"/>
        </w:rPr>
        <w:t>2.0</w:t>
      </w:r>
      <w:r w:rsidR="0068013D">
        <w:rPr>
          <w:rFonts w:ascii="Poppins" w:eastAsia="Calibri" w:hAnsi="Poppins" w:cs="Poppins"/>
          <w:sz w:val="24"/>
          <w:szCs w:val="24"/>
        </w:rPr>
        <w:t>9</w:t>
      </w:r>
      <w:r w:rsidRPr="00D1021A">
        <w:rPr>
          <w:rFonts w:ascii="Poppins" w:eastAsia="Calibri" w:hAnsi="Poppins" w:cs="Poppins"/>
          <w:sz w:val="24"/>
          <w:szCs w:val="24"/>
        </w:rPr>
        <w:t>.</w:t>
      </w:r>
      <w:r w:rsidR="00B86E1F" w:rsidRPr="00D1021A">
        <w:rPr>
          <w:rFonts w:ascii="Poppins" w:eastAsia="Calibri" w:hAnsi="Poppins" w:cs="Poppins"/>
          <w:sz w:val="24"/>
          <w:szCs w:val="24"/>
        </w:rPr>
        <w:t>20</w:t>
      </w:r>
      <w:r w:rsidRPr="00D1021A">
        <w:rPr>
          <w:rFonts w:ascii="Poppins" w:eastAsia="Calibri" w:hAnsi="Poppins" w:cs="Poppins"/>
          <w:sz w:val="24"/>
          <w:szCs w:val="24"/>
        </w:rPr>
        <w:t>24].</w:t>
      </w:r>
    </w:p>
    <w:p w14:paraId="3AECA562" w14:textId="23D44E28" w:rsidR="0040385C" w:rsidRPr="00D1021A" w:rsidRDefault="00046E90" w:rsidP="009B614E">
      <w:pPr>
        <w:spacing w:before="240" w:line="360" w:lineRule="auto"/>
        <w:ind w:left="-20" w:right="-20"/>
        <w:rPr>
          <w:rFonts w:ascii="Poppins" w:eastAsia="Calibri" w:hAnsi="Poppins" w:cs="Poppins"/>
          <w:sz w:val="24"/>
          <w:szCs w:val="24"/>
        </w:rPr>
      </w:pPr>
      <w:r w:rsidRPr="006416ED">
        <w:rPr>
          <w:rFonts w:ascii="Poppins" w:eastAsia="Calibri" w:hAnsi="Poppins" w:cs="Poppins"/>
          <w:b/>
          <w:bCs/>
          <w:sz w:val="24"/>
          <w:szCs w:val="24"/>
          <w:lang w:val="en-US"/>
        </w:rPr>
        <w:t xml:space="preserve">UNESCO (2002). </w:t>
      </w:r>
      <w:r w:rsidRPr="006416ED">
        <w:rPr>
          <w:rFonts w:ascii="Poppins" w:eastAsia="Calibri" w:hAnsi="Poppins" w:cs="Poppins"/>
          <w:sz w:val="24"/>
          <w:szCs w:val="24"/>
          <w:lang w:val="en-US"/>
        </w:rPr>
        <w:t xml:space="preserve">Forum on the Impact of Open Courseware for Higher Education in Developing Countries, UNESCO, Paris, 1-3 July 2002: final report. </w:t>
      </w:r>
      <w:r w:rsidRPr="00D1021A">
        <w:rPr>
          <w:rFonts w:ascii="Poppins" w:eastAsia="Calibri" w:hAnsi="Poppins" w:cs="Poppins"/>
          <w:sz w:val="24"/>
          <w:szCs w:val="24"/>
        </w:rPr>
        <w:t xml:space="preserve">Online verfügbar unter: </w:t>
      </w:r>
      <w:hyperlink r:id="rId55" w:history="1">
        <w:r w:rsidR="0068013D">
          <w:rPr>
            <w:rStyle w:val="Hyperlink"/>
            <w:rFonts w:ascii="Poppins" w:eastAsia="Calibri" w:hAnsi="Poppins" w:cs="Poppins"/>
            <w:sz w:val="24"/>
            <w:szCs w:val="24"/>
          </w:rPr>
          <w:t>https://unesdoc.unesco.org/ark:/48223/pf0000128515</w:t>
        </w:r>
      </w:hyperlink>
      <w:r w:rsidRPr="00D1021A">
        <w:rPr>
          <w:rFonts w:ascii="Poppins" w:eastAsia="Calibri" w:hAnsi="Poppins" w:cs="Poppins"/>
          <w:sz w:val="24"/>
          <w:szCs w:val="24"/>
        </w:rPr>
        <w:t xml:space="preserve"> [1</w:t>
      </w:r>
      <w:r w:rsidR="0068013D">
        <w:rPr>
          <w:rFonts w:ascii="Poppins" w:eastAsia="Calibri" w:hAnsi="Poppins" w:cs="Poppins"/>
          <w:sz w:val="24"/>
          <w:szCs w:val="24"/>
        </w:rPr>
        <w:t>2</w:t>
      </w:r>
      <w:r w:rsidRPr="00D1021A">
        <w:rPr>
          <w:rFonts w:ascii="Poppins" w:eastAsia="Calibri" w:hAnsi="Poppins" w:cs="Poppins"/>
          <w:sz w:val="24"/>
          <w:szCs w:val="24"/>
        </w:rPr>
        <w:t>.0</w:t>
      </w:r>
      <w:r w:rsidR="0068013D">
        <w:rPr>
          <w:rFonts w:ascii="Poppins" w:eastAsia="Calibri" w:hAnsi="Poppins" w:cs="Poppins"/>
          <w:sz w:val="24"/>
          <w:szCs w:val="24"/>
        </w:rPr>
        <w:t>9</w:t>
      </w:r>
      <w:r w:rsidRPr="00D1021A">
        <w:rPr>
          <w:rFonts w:ascii="Poppins" w:eastAsia="Calibri" w:hAnsi="Poppins" w:cs="Poppins"/>
          <w:sz w:val="24"/>
          <w:szCs w:val="24"/>
        </w:rPr>
        <w:t>.</w:t>
      </w:r>
      <w:r w:rsidR="00B86E1F" w:rsidRPr="00D1021A">
        <w:rPr>
          <w:rFonts w:ascii="Poppins" w:eastAsia="Calibri" w:hAnsi="Poppins" w:cs="Poppins"/>
          <w:sz w:val="24"/>
          <w:szCs w:val="24"/>
        </w:rPr>
        <w:t>20</w:t>
      </w:r>
      <w:r w:rsidRPr="00D1021A">
        <w:rPr>
          <w:rFonts w:ascii="Poppins" w:eastAsia="Calibri" w:hAnsi="Poppins" w:cs="Poppins"/>
          <w:sz w:val="24"/>
          <w:szCs w:val="24"/>
        </w:rPr>
        <w:t>24].</w:t>
      </w:r>
    </w:p>
    <w:p w14:paraId="23916F0E" w14:textId="40EFD178" w:rsidR="0040385C" w:rsidRPr="00D1021A" w:rsidRDefault="00046E90" w:rsidP="009B614E">
      <w:pPr>
        <w:spacing w:before="240" w:line="360" w:lineRule="auto"/>
        <w:ind w:left="-20" w:right="-20"/>
        <w:rPr>
          <w:rFonts w:ascii="Poppins" w:eastAsia="Calibri" w:hAnsi="Poppins" w:cs="Poppins"/>
          <w:sz w:val="24"/>
          <w:szCs w:val="24"/>
        </w:rPr>
      </w:pPr>
      <w:r w:rsidRPr="00D1021A">
        <w:rPr>
          <w:rFonts w:ascii="Poppins" w:eastAsia="Calibri" w:hAnsi="Poppins" w:cs="Poppins"/>
          <w:b/>
          <w:bCs/>
          <w:sz w:val="24"/>
          <w:szCs w:val="24"/>
        </w:rPr>
        <w:lastRenderedPageBreak/>
        <w:t>UNESCO (2018)</w:t>
      </w:r>
      <w:r w:rsidRPr="00D1021A">
        <w:rPr>
          <w:rFonts w:ascii="Poppins" w:eastAsia="Calibri" w:hAnsi="Poppins" w:cs="Poppins"/>
          <w:sz w:val="24"/>
          <w:szCs w:val="24"/>
        </w:rPr>
        <w:t xml:space="preserve">. </w:t>
      </w:r>
      <w:r w:rsidRPr="006416ED">
        <w:rPr>
          <w:rFonts w:ascii="Poppins" w:hAnsi="Poppins" w:cs="Poppins"/>
          <w:sz w:val="24"/>
          <w:szCs w:val="24"/>
          <w:lang w:val="en-US"/>
        </w:rPr>
        <w:t xml:space="preserve">WAS SIND OPEN EDUCATIONAL RESOURCES? </w:t>
      </w:r>
      <w:r w:rsidRPr="00D1021A">
        <w:rPr>
          <w:rFonts w:ascii="Poppins" w:hAnsi="Poppins" w:cs="Poppins"/>
          <w:sz w:val="24"/>
          <w:szCs w:val="24"/>
        </w:rPr>
        <w:t>UND ANDERE HÄUFIG GESTELLTE FRAGEN ZU OER</w:t>
      </w:r>
      <w:r w:rsidRPr="00D1021A">
        <w:rPr>
          <w:rFonts w:ascii="Poppins" w:eastAsia="Calibri" w:hAnsi="Poppins" w:cs="Poppins"/>
          <w:sz w:val="24"/>
          <w:szCs w:val="24"/>
        </w:rPr>
        <w:t xml:space="preserve">. Online verfügbar unter: </w:t>
      </w:r>
      <w:hyperlink r:id="rId56" w:history="1">
        <w:r w:rsidR="0068013D">
          <w:rPr>
            <w:rStyle w:val="Hyperlink"/>
            <w:rFonts w:ascii="Poppins" w:hAnsi="Poppins" w:cs="Poppins"/>
            <w:sz w:val="24"/>
            <w:szCs w:val="24"/>
          </w:rPr>
          <w:t>https://www.unesco.de/sites/default/files/2018-04/Was_sind_OER__cc.pdf</w:t>
        </w:r>
      </w:hyperlink>
      <w:r w:rsidRPr="00D1021A">
        <w:rPr>
          <w:rFonts w:ascii="Poppins" w:hAnsi="Poppins" w:cs="Poppins"/>
          <w:sz w:val="24"/>
          <w:szCs w:val="24"/>
        </w:rPr>
        <w:t xml:space="preserve"> </w:t>
      </w:r>
      <w:r w:rsidRPr="00D1021A">
        <w:rPr>
          <w:rFonts w:ascii="Poppins" w:eastAsia="Calibri" w:hAnsi="Poppins" w:cs="Poppins"/>
          <w:sz w:val="24"/>
          <w:szCs w:val="24"/>
        </w:rPr>
        <w:t xml:space="preserve"> [</w:t>
      </w:r>
      <w:r w:rsidR="0068013D">
        <w:rPr>
          <w:rFonts w:ascii="Poppins" w:eastAsia="Calibri" w:hAnsi="Poppins" w:cs="Poppins"/>
          <w:sz w:val="24"/>
          <w:szCs w:val="24"/>
        </w:rPr>
        <w:t>1</w:t>
      </w:r>
      <w:r w:rsidRPr="00D1021A">
        <w:rPr>
          <w:rFonts w:ascii="Poppins" w:eastAsia="Calibri" w:hAnsi="Poppins" w:cs="Poppins"/>
          <w:sz w:val="24"/>
          <w:szCs w:val="24"/>
        </w:rPr>
        <w:t>2.0</w:t>
      </w:r>
      <w:r w:rsidR="0068013D">
        <w:rPr>
          <w:rFonts w:ascii="Poppins" w:eastAsia="Calibri" w:hAnsi="Poppins" w:cs="Poppins"/>
          <w:sz w:val="24"/>
          <w:szCs w:val="24"/>
        </w:rPr>
        <w:t>9</w:t>
      </w:r>
      <w:r w:rsidRPr="00D1021A">
        <w:rPr>
          <w:rFonts w:ascii="Poppins" w:eastAsia="Calibri" w:hAnsi="Poppins" w:cs="Poppins"/>
          <w:sz w:val="24"/>
          <w:szCs w:val="24"/>
        </w:rPr>
        <w:t>.</w:t>
      </w:r>
      <w:r w:rsidR="00B86E1F" w:rsidRPr="00D1021A">
        <w:rPr>
          <w:rFonts w:ascii="Poppins" w:eastAsia="Calibri" w:hAnsi="Poppins" w:cs="Poppins"/>
          <w:sz w:val="24"/>
          <w:szCs w:val="24"/>
        </w:rPr>
        <w:t>20</w:t>
      </w:r>
      <w:r w:rsidRPr="00D1021A">
        <w:rPr>
          <w:rFonts w:ascii="Poppins" w:eastAsia="Calibri" w:hAnsi="Poppins" w:cs="Poppins"/>
          <w:sz w:val="24"/>
          <w:szCs w:val="24"/>
        </w:rPr>
        <w:t>24].</w:t>
      </w:r>
    </w:p>
    <w:p w14:paraId="1D5E2662" w14:textId="3C90F4E2" w:rsidR="0040385C" w:rsidRPr="00D1021A" w:rsidRDefault="00046E90" w:rsidP="009B614E">
      <w:pPr>
        <w:spacing w:before="240" w:line="360" w:lineRule="auto"/>
        <w:ind w:left="-20" w:right="-20"/>
        <w:rPr>
          <w:rFonts w:ascii="Poppins" w:eastAsia="Calibri" w:hAnsi="Poppins" w:cs="Poppins"/>
          <w:sz w:val="24"/>
          <w:szCs w:val="24"/>
        </w:rPr>
      </w:pPr>
      <w:r w:rsidRPr="006416ED">
        <w:rPr>
          <w:rFonts w:ascii="Poppins" w:eastAsia="Calibri" w:hAnsi="Poppins" w:cs="Poppins"/>
          <w:b/>
          <w:bCs/>
          <w:sz w:val="24"/>
          <w:szCs w:val="24"/>
          <w:lang w:val="en-US"/>
        </w:rPr>
        <w:t xml:space="preserve">UNESCO (2019). </w:t>
      </w:r>
      <w:r w:rsidRPr="006416ED">
        <w:rPr>
          <w:rFonts w:ascii="Poppins" w:eastAsia="Calibri" w:hAnsi="Poppins" w:cs="Poppins"/>
          <w:sz w:val="24"/>
          <w:szCs w:val="24"/>
          <w:lang w:val="en-US"/>
        </w:rPr>
        <w:t>The 2019 UNESCO Recommendation on Open Educat</w:t>
      </w:r>
      <w:r w:rsidR="00260A75" w:rsidRPr="006416ED">
        <w:rPr>
          <w:rFonts w:ascii="Poppins" w:eastAsia="Calibri" w:hAnsi="Poppins" w:cs="Poppins"/>
          <w:sz w:val="24"/>
          <w:szCs w:val="24"/>
          <w:lang w:val="en-US"/>
        </w:rPr>
        <w:t>i</w:t>
      </w:r>
      <w:r w:rsidRPr="006416ED">
        <w:rPr>
          <w:rFonts w:ascii="Poppins" w:eastAsia="Calibri" w:hAnsi="Poppins" w:cs="Poppins"/>
          <w:sz w:val="24"/>
          <w:szCs w:val="24"/>
          <w:lang w:val="en-US"/>
        </w:rPr>
        <w:t xml:space="preserve">onal Resources (OER). </w:t>
      </w:r>
      <w:r w:rsidRPr="00D1021A">
        <w:rPr>
          <w:rFonts w:ascii="Poppins" w:eastAsia="Calibri" w:hAnsi="Poppins" w:cs="Poppins"/>
          <w:sz w:val="24"/>
          <w:szCs w:val="24"/>
        </w:rPr>
        <w:t>Online verfügbar unter:</w:t>
      </w:r>
      <w:r w:rsidRPr="00D1021A">
        <w:rPr>
          <w:rFonts w:ascii="Poppins" w:eastAsia="Calibri" w:hAnsi="Poppins" w:cs="Poppins"/>
          <w:b/>
          <w:bCs/>
          <w:sz w:val="24"/>
          <w:szCs w:val="24"/>
        </w:rPr>
        <w:t xml:space="preserve"> </w:t>
      </w:r>
      <w:hyperlink r:id="rId57" w:history="1">
        <w:r w:rsidR="0068013D">
          <w:rPr>
            <w:rStyle w:val="Hyperlink"/>
            <w:rFonts w:ascii="Poppins" w:eastAsia="Calibri" w:hAnsi="Poppins" w:cs="Poppins"/>
            <w:sz w:val="24"/>
            <w:szCs w:val="24"/>
          </w:rPr>
          <w:t>https://unesdoc.unesco.org/ark:/48223/pf0000383205/PDF/383205eng.pdf.multi</w:t>
        </w:r>
      </w:hyperlink>
      <w:r w:rsidRPr="00D1021A">
        <w:rPr>
          <w:rFonts w:ascii="Poppins" w:eastAsia="Calibri" w:hAnsi="Poppins" w:cs="Poppins"/>
          <w:sz w:val="24"/>
          <w:szCs w:val="24"/>
        </w:rPr>
        <w:t xml:space="preserve"> [</w:t>
      </w:r>
      <w:r w:rsidR="0068013D">
        <w:rPr>
          <w:rFonts w:ascii="Poppins" w:eastAsia="Calibri" w:hAnsi="Poppins" w:cs="Poppins"/>
          <w:sz w:val="24"/>
          <w:szCs w:val="24"/>
        </w:rPr>
        <w:t>12</w:t>
      </w:r>
      <w:r w:rsidRPr="00D1021A">
        <w:rPr>
          <w:rFonts w:ascii="Poppins" w:eastAsia="Calibri" w:hAnsi="Poppins" w:cs="Poppins"/>
          <w:sz w:val="24"/>
          <w:szCs w:val="24"/>
        </w:rPr>
        <w:t>.0</w:t>
      </w:r>
      <w:r w:rsidR="0068013D">
        <w:rPr>
          <w:rFonts w:ascii="Poppins" w:eastAsia="Calibri" w:hAnsi="Poppins" w:cs="Poppins"/>
          <w:sz w:val="24"/>
          <w:szCs w:val="24"/>
        </w:rPr>
        <w:t>9</w:t>
      </w:r>
      <w:r w:rsidRPr="00D1021A">
        <w:rPr>
          <w:rFonts w:ascii="Poppins" w:eastAsia="Calibri" w:hAnsi="Poppins" w:cs="Poppins"/>
          <w:sz w:val="24"/>
          <w:szCs w:val="24"/>
        </w:rPr>
        <w:t>.</w:t>
      </w:r>
      <w:r w:rsidR="00B86E1F" w:rsidRPr="00D1021A">
        <w:rPr>
          <w:rFonts w:ascii="Poppins" w:eastAsia="Calibri" w:hAnsi="Poppins" w:cs="Poppins"/>
          <w:sz w:val="24"/>
          <w:szCs w:val="24"/>
        </w:rPr>
        <w:t>20</w:t>
      </w:r>
      <w:r w:rsidRPr="00D1021A">
        <w:rPr>
          <w:rFonts w:ascii="Poppins" w:eastAsia="Calibri" w:hAnsi="Poppins" w:cs="Poppins"/>
          <w:sz w:val="24"/>
          <w:szCs w:val="24"/>
        </w:rPr>
        <w:t>24].</w:t>
      </w:r>
    </w:p>
    <w:p w14:paraId="3FF33D37" w14:textId="6CAEEBEC" w:rsidR="0040385C" w:rsidRPr="00D1021A" w:rsidRDefault="00046E90" w:rsidP="009B614E">
      <w:pPr>
        <w:spacing w:before="240" w:line="360" w:lineRule="auto"/>
        <w:ind w:left="-20" w:right="-20"/>
        <w:rPr>
          <w:rFonts w:ascii="Poppins" w:hAnsi="Poppins" w:cs="Poppins"/>
          <w:sz w:val="24"/>
          <w:szCs w:val="24"/>
        </w:rPr>
      </w:pPr>
      <w:r w:rsidRPr="00D1021A">
        <w:rPr>
          <w:rFonts w:ascii="Poppins" w:eastAsia="Calibri" w:hAnsi="Poppins" w:cs="Poppins"/>
          <w:b/>
          <w:bCs/>
          <w:sz w:val="24"/>
          <w:szCs w:val="24"/>
        </w:rPr>
        <w:t>UNESCO (2023a).</w:t>
      </w:r>
      <w:r w:rsidRPr="00D1021A">
        <w:rPr>
          <w:rFonts w:ascii="Poppins" w:eastAsia="Calibri" w:hAnsi="Poppins" w:cs="Poppins"/>
          <w:sz w:val="24"/>
          <w:szCs w:val="24"/>
        </w:rPr>
        <w:t xml:space="preserve"> Inklusive Bildung. Online verfügbar unter: </w:t>
      </w:r>
      <w:hyperlink r:id="rId58" w:history="1">
        <w:r w:rsidR="0068013D">
          <w:rPr>
            <w:rStyle w:val="Hyperlink"/>
            <w:rFonts w:ascii="Poppins" w:eastAsia="Calibri" w:hAnsi="Poppins" w:cs="Poppins"/>
            <w:sz w:val="24"/>
            <w:szCs w:val="24"/>
          </w:rPr>
          <w:t>https://www.unesco.de/bildung/inklusive-bildung</w:t>
        </w:r>
      </w:hyperlink>
      <w:r w:rsidRPr="00D1021A">
        <w:rPr>
          <w:rFonts w:ascii="Poppins" w:eastAsia="Calibri" w:hAnsi="Poppins" w:cs="Poppins"/>
          <w:sz w:val="24"/>
          <w:szCs w:val="24"/>
        </w:rPr>
        <w:t xml:space="preserve"> [</w:t>
      </w:r>
      <w:r w:rsidR="0068013D">
        <w:rPr>
          <w:rFonts w:ascii="Poppins" w:eastAsia="Calibri" w:hAnsi="Poppins" w:cs="Poppins"/>
          <w:sz w:val="24"/>
          <w:szCs w:val="24"/>
        </w:rPr>
        <w:t>12</w:t>
      </w:r>
      <w:r w:rsidRPr="00D1021A">
        <w:rPr>
          <w:rFonts w:ascii="Poppins" w:eastAsia="Calibri" w:hAnsi="Poppins" w:cs="Poppins"/>
          <w:sz w:val="24"/>
          <w:szCs w:val="24"/>
        </w:rPr>
        <w:t>.0</w:t>
      </w:r>
      <w:r w:rsidR="0068013D">
        <w:rPr>
          <w:rFonts w:ascii="Poppins" w:eastAsia="Calibri" w:hAnsi="Poppins" w:cs="Poppins"/>
          <w:sz w:val="24"/>
          <w:szCs w:val="24"/>
        </w:rPr>
        <w:t>9</w:t>
      </w:r>
      <w:r w:rsidRPr="00D1021A">
        <w:rPr>
          <w:rFonts w:ascii="Poppins" w:eastAsia="Calibri" w:hAnsi="Poppins" w:cs="Poppins"/>
          <w:sz w:val="24"/>
          <w:szCs w:val="24"/>
        </w:rPr>
        <w:t>.</w:t>
      </w:r>
      <w:r w:rsidR="00B86E1F" w:rsidRPr="00D1021A">
        <w:rPr>
          <w:rFonts w:ascii="Poppins" w:eastAsia="Calibri" w:hAnsi="Poppins" w:cs="Poppins"/>
          <w:sz w:val="24"/>
          <w:szCs w:val="24"/>
        </w:rPr>
        <w:t>20</w:t>
      </w:r>
      <w:r w:rsidRPr="00D1021A">
        <w:rPr>
          <w:rFonts w:ascii="Poppins" w:eastAsia="Calibri" w:hAnsi="Poppins" w:cs="Poppins"/>
          <w:sz w:val="24"/>
          <w:szCs w:val="24"/>
        </w:rPr>
        <w:t>24].</w:t>
      </w:r>
    </w:p>
    <w:p w14:paraId="718048FC" w14:textId="4D912B84" w:rsidR="0040385C" w:rsidRPr="00D1021A" w:rsidRDefault="00046E90" w:rsidP="0063008B">
      <w:pPr>
        <w:spacing w:before="240" w:line="360" w:lineRule="auto"/>
        <w:rPr>
          <w:rFonts w:ascii="Poppins" w:hAnsi="Poppins" w:cs="Poppins"/>
          <w:sz w:val="24"/>
          <w:szCs w:val="24"/>
          <w14:ligatures w14:val="none"/>
        </w:rPr>
      </w:pPr>
      <w:r w:rsidRPr="006416ED">
        <w:rPr>
          <w:rFonts w:ascii="Poppins" w:eastAsia="Calibri" w:hAnsi="Poppins" w:cs="Poppins"/>
          <w:b/>
          <w:bCs/>
          <w:sz w:val="24"/>
          <w:szCs w:val="24"/>
          <w:lang w:val="en-US"/>
        </w:rPr>
        <w:t xml:space="preserve">UNESCO (o. </w:t>
      </w:r>
      <w:proofErr w:type="spellStart"/>
      <w:r w:rsidRPr="006416ED">
        <w:rPr>
          <w:rFonts w:ascii="Poppins" w:eastAsia="Calibri" w:hAnsi="Poppins" w:cs="Poppins"/>
          <w:b/>
          <w:bCs/>
          <w:sz w:val="24"/>
          <w:szCs w:val="24"/>
          <w:lang w:val="en-US"/>
        </w:rPr>
        <w:t>J.a</w:t>
      </w:r>
      <w:proofErr w:type="spellEnd"/>
      <w:r w:rsidRPr="006416ED">
        <w:rPr>
          <w:rFonts w:ascii="Poppins" w:eastAsia="Calibri" w:hAnsi="Poppins" w:cs="Poppins"/>
          <w:b/>
          <w:bCs/>
          <w:sz w:val="24"/>
          <w:szCs w:val="24"/>
          <w:lang w:val="en-US"/>
        </w:rPr>
        <w:t>).</w:t>
      </w:r>
      <w:r w:rsidRPr="006416ED">
        <w:rPr>
          <w:rFonts w:ascii="Poppins" w:eastAsia="Calibri" w:hAnsi="Poppins" w:cs="Poppins"/>
          <w:sz w:val="24"/>
          <w:szCs w:val="24"/>
          <w:lang w:val="en-US"/>
        </w:rPr>
        <w:t xml:space="preserve"> Open Educational Resources. </w:t>
      </w:r>
      <w:r w:rsidRPr="00D1021A">
        <w:rPr>
          <w:rFonts w:ascii="Poppins" w:eastAsia="Calibri" w:hAnsi="Poppins" w:cs="Poppins"/>
          <w:sz w:val="24"/>
          <w:szCs w:val="24"/>
        </w:rPr>
        <w:t xml:space="preserve">Online verfügbar unter: </w:t>
      </w:r>
      <w:hyperlink r:id="rId59" w:history="1">
        <w:r w:rsidR="0068013D">
          <w:rPr>
            <w:rStyle w:val="Hyperlink"/>
            <w:rFonts w:ascii="Poppins" w:eastAsia="Times New Roman" w:hAnsi="Poppins" w:cs="Poppins"/>
            <w:sz w:val="24"/>
            <w:szCs w:val="24"/>
          </w:rPr>
          <w:t>https://www.unesco.org/en/open-educational-resources</w:t>
        </w:r>
      </w:hyperlink>
      <w:r w:rsidRPr="00D1021A">
        <w:rPr>
          <w:rFonts w:ascii="Poppins" w:eastAsia="Calibri" w:hAnsi="Poppins" w:cs="Poppins"/>
          <w:sz w:val="24"/>
          <w:szCs w:val="24"/>
        </w:rPr>
        <w:t xml:space="preserve"> [1</w:t>
      </w:r>
      <w:r w:rsidR="0068013D">
        <w:rPr>
          <w:rFonts w:ascii="Poppins" w:eastAsia="Calibri" w:hAnsi="Poppins" w:cs="Poppins"/>
          <w:sz w:val="24"/>
          <w:szCs w:val="24"/>
        </w:rPr>
        <w:t>2</w:t>
      </w:r>
      <w:r w:rsidRPr="00D1021A">
        <w:rPr>
          <w:rFonts w:ascii="Poppins" w:eastAsia="Calibri" w:hAnsi="Poppins" w:cs="Poppins"/>
          <w:sz w:val="24"/>
          <w:szCs w:val="24"/>
        </w:rPr>
        <w:t>.0</w:t>
      </w:r>
      <w:r w:rsidR="0068013D">
        <w:rPr>
          <w:rFonts w:ascii="Poppins" w:eastAsia="Calibri" w:hAnsi="Poppins" w:cs="Poppins"/>
          <w:sz w:val="24"/>
          <w:szCs w:val="24"/>
        </w:rPr>
        <w:t>9</w:t>
      </w:r>
      <w:r w:rsidRPr="00D1021A">
        <w:rPr>
          <w:rFonts w:ascii="Poppins" w:eastAsia="Calibri" w:hAnsi="Poppins" w:cs="Poppins"/>
          <w:sz w:val="24"/>
          <w:szCs w:val="24"/>
        </w:rPr>
        <w:t>.</w:t>
      </w:r>
      <w:r w:rsidR="00B86E1F" w:rsidRPr="00D1021A">
        <w:rPr>
          <w:rFonts w:ascii="Poppins" w:eastAsia="Calibri" w:hAnsi="Poppins" w:cs="Poppins"/>
          <w:sz w:val="24"/>
          <w:szCs w:val="24"/>
        </w:rPr>
        <w:t>20</w:t>
      </w:r>
      <w:r w:rsidRPr="00D1021A">
        <w:rPr>
          <w:rFonts w:ascii="Poppins" w:eastAsia="Calibri" w:hAnsi="Poppins" w:cs="Poppins"/>
          <w:sz w:val="24"/>
          <w:szCs w:val="24"/>
        </w:rPr>
        <w:t>24].</w:t>
      </w:r>
    </w:p>
    <w:p w14:paraId="617CDBDD" w14:textId="4093EB32" w:rsidR="0040385C" w:rsidRPr="006416ED" w:rsidRDefault="00046E90" w:rsidP="0063008B">
      <w:pPr>
        <w:spacing w:before="240" w:line="360" w:lineRule="auto"/>
        <w:rPr>
          <w:rFonts w:ascii="Poppins" w:eastAsia="Calibri" w:hAnsi="Poppins" w:cs="Poppins"/>
          <w:sz w:val="24"/>
          <w:szCs w:val="24"/>
          <w:lang w:val="en-US"/>
          <w14:ligatures w14:val="none"/>
        </w:rPr>
      </w:pPr>
      <w:r w:rsidRPr="00D1021A">
        <w:rPr>
          <w:rFonts w:ascii="Poppins" w:hAnsi="Poppins" w:cs="Poppins"/>
          <w:b/>
          <w:bCs/>
          <w:sz w:val="24"/>
          <w:szCs w:val="24"/>
        </w:rPr>
        <w:t>UNESCO (</w:t>
      </w:r>
      <w:proofErr w:type="spellStart"/>
      <w:r w:rsidRPr="00D1021A">
        <w:rPr>
          <w:rFonts w:ascii="Poppins" w:hAnsi="Poppins" w:cs="Poppins"/>
          <w:b/>
          <w:bCs/>
          <w:sz w:val="24"/>
          <w:szCs w:val="24"/>
        </w:rPr>
        <w:t>o.J.b</w:t>
      </w:r>
      <w:proofErr w:type="spellEnd"/>
      <w:r w:rsidRPr="00D1021A">
        <w:rPr>
          <w:rFonts w:ascii="Poppins" w:hAnsi="Poppins" w:cs="Poppins"/>
          <w:b/>
          <w:bCs/>
          <w:sz w:val="24"/>
          <w:szCs w:val="24"/>
        </w:rPr>
        <w:t>).</w:t>
      </w:r>
      <w:r w:rsidRPr="00D1021A">
        <w:rPr>
          <w:rFonts w:ascii="Poppins" w:hAnsi="Poppins" w:cs="Poppins"/>
          <w:sz w:val="24"/>
          <w:szCs w:val="24"/>
        </w:rPr>
        <w:t xml:space="preserve"> Bildung. </w:t>
      </w:r>
      <w:r w:rsidRPr="006416ED">
        <w:rPr>
          <w:rFonts w:ascii="Poppins" w:hAnsi="Poppins" w:cs="Poppins"/>
          <w:sz w:val="24"/>
          <w:szCs w:val="24"/>
          <w:lang w:val="en-US"/>
        </w:rPr>
        <w:t xml:space="preserve">Open Educational Resources. Online </w:t>
      </w:r>
      <w:proofErr w:type="spellStart"/>
      <w:r w:rsidRPr="006416ED">
        <w:rPr>
          <w:rFonts w:ascii="Poppins" w:hAnsi="Poppins" w:cs="Poppins"/>
          <w:sz w:val="24"/>
          <w:szCs w:val="24"/>
          <w:lang w:val="en-US"/>
        </w:rPr>
        <w:t>verfügbar</w:t>
      </w:r>
      <w:proofErr w:type="spellEnd"/>
      <w:r w:rsidRPr="006416ED">
        <w:rPr>
          <w:rFonts w:ascii="Poppins" w:hAnsi="Poppins" w:cs="Poppins"/>
          <w:sz w:val="24"/>
          <w:szCs w:val="24"/>
          <w:lang w:val="en-US"/>
        </w:rPr>
        <w:t xml:space="preserve"> </w:t>
      </w:r>
      <w:proofErr w:type="spellStart"/>
      <w:r w:rsidRPr="006416ED">
        <w:rPr>
          <w:rFonts w:ascii="Poppins" w:hAnsi="Poppins" w:cs="Poppins"/>
          <w:sz w:val="24"/>
          <w:szCs w:val="24"/>
          <w:lang w:val="en-US"/>
        </w:rPr>
        <w:t>unter</w:t>
      </w:r>
      <w:proofErr w:type="spellEnd"/>
      <w:r w:rsidRPr="006416ED">
        <w:rPr>
          <w:rFonts w:ascii="Poppins" w:hAnsi="Poppins" w:cs="Poppins"/>
          <w:sz w:val="24"/>
          <w:szCs w:val="24"/>
          <w:lang w:val="en-US"/>
        </w:rPr>
        <w:t xml:space="preserve">: </w:t>
      </w:r>
      <w:hyperlink r:id="rId60" w:history="1">
        <w:r w:rsidR="00C95D30" w:rsidRPr="006416ED">
          <w:rPr>
            <w:rStyle w:val="Hyperlink"/>
            <w:rFonts w:ascii="Poppins" w:eastAsia="Times New Roman" w:hAnsi="Poppins" w:cs="Poppins"/>
            <w:sz w:val="24"/>
            <w:szCs w:val="24"/>
            <w:lang w:val="en-US"/>
          </w:rPr>
          <w:t>https://www.unesco.de/bildung/open-educational-resources</w:t>
        </w:r>
      </w:hyperlink>
      <w:r w:rsidRPr="006416ED">
        <w:rPr>
          <w:rFonts w:ascii="Poppins" w:eastAsia="Calibri" w:hAnsi="Poppins" w:cs="Poppins"/>
          <w:sz w:val="24"/>
          <w:szCs w:val="24"/>
          <w:lang w:val="en-US"/>
        </w:rPr>
        <w:t xml:space="preserve"> [</w:t>
      </w:r>
      <w:r w:rsidR="0068013D" w:rsidRPr="006416ED">
        <w:rPr>
          <w:rFonts w:ascii="Poppins" w:eastAsia="Calibri" w:hAnsi="Poppins" w:cs="Poppins"/>
          <w:sz w:val="24"/>
          <w:szCs w:val="24"/>
          <w:lang w:val="en-US"/>
        </w:rPr>
        <w:t>1</w:t>
      </w:r>
      <w:r w:rsidRPr="006416ED">
        <w:rPr>
          <w:rFonts w:ascii="Poppins" w:eastAsia="Calibri" w:hAnsi="Poppins" w:cs="Poppins"/>
          <w:sz w:val="24"/>
          <w:szCs w:val="24"/>
          <w:lang w:val="en-US"/>
        </w:rPr>
        <w:t>2.0</w:t>
      </w:r>
      <w:r w:rsidR="0068013D" w:rsidRPr="006416ED">
        <w:rPr>
          <w:rFonts w:ascii="Poppins" w:eastAsia="Calibri" w:hAnsi="Poppins" w:cs="Poppins"/>
          <w:sz w:val="24"/>
          <w:szCs w:val="24"/>
          <w:lang w:val="en-US"/>
        </w:rPr>
        <w:t>9</w:t>
      </w:r>
      <w:r w:rsidRPr="006416ED">
        <w:rPr>
          <w:rFonts w:ascii="Poppins" w:eastAsia="Calibri" w:hAnsi="Poppins" w:cs="Poppins"/>
          <w:sz w:val="24"/>
          <w:szCs w:val="24"/>
          <w:lang w:val="en-US"/>
        </w:rPr>
        <w:t>.</w:t>
      </w:r>
      <w:r w:rsidR="00B86E1F" w:rsidRPr="006416ED">
        <w:rPr>
          <w:rFonts w:ascii="Poppins" w:eastAsia="Calibri" w:hAnsi="Poppins" w:cs="Poppins"/>
          <w:sz w:val="24"/>
          <w:szCs w:val="24"/>
          <w:lang w:val="en-US"/>
        </w:rPr>
        <w:t>20</w:t>
      </w:r>
      <w:r w:rsidRPr="006416ED">
        <w:rPr>
          <w:rFonts w:ascii="Poppins" w:eastAsia="Calibri" w:hAnsi="Poppins" w:cs="Poppins"/>
          <w:sz w:val="24"/>
          <w:szCs w:val="24"/>
          <w:lang w:val="en-US"/>
        </w:rPr>
        <w:t>24].</w:t>
      </w:r>
    </w:p>
    <w:p w14:paraId="0E0B91EB" w14:textId="6105D1D4" w:rsidR="0040385C" w:rsidRPr="00D1021A" w:rsidRDefault="00046E90" w:rsidP="0063008B">
      <w:pPr>
        <w:spacing w:before="240" w:line="360" w:lineRule="auto"/>
        <w:ind w:left="-20" w:right="-20"/>
        <w:rPr>
          <w:rFonts w:ascii="Poppins" w:eastAsia="Calibri" w:hAnsi="Poppins" w:cs="Poppins"/>
          <w:sz w:val="24"/>
          <w:szCs w:val="24"/>
        </w:rPr>
      </w:pPr>
      <w:r w:rsidRPr="00D1021A">
        <w:rPr>
          <w:rFonts w:ascii="Poppins" w:eastAsia="Calibri" w:hAnsi="Poppins" w:cs="Poppins"/>
          <w:b/>
          <w:bCs/>
          <w:sz w:val="24"/>
          <w:szCs w:val="24"/>
        </w:rPr>
        <w:t>UNESCO (2023b).</w:t>
      </w:r>
      <w:r w:rsidRPr="00D1021A">
        <w:rPr>
          <w:rFonts w:ascii="Poppins" w:eastAsia="Calibri" w:hAnsi="Poppins" w:cs="Poppins"/>
          <w:sz w:val="24"/>
          <w:szCs w:val="24"/>
        </w:rPr>
        <w:t xml:space="preserve"> Agenda Bildung 2030. Online verfügbar unter: </w:t>
      </w:r>
      <w:hyperlink r:id="rId61" w:history="1">
        <w:r w:rsidR="0068013D">
          <w:rPr>
            <w:rStyle w:val="Hyperlink"/>
            <w:rFonts w:ascii="Poppins" w:eastAsia="Calibri" w:hAnsi="Poppins" w:cs="Poppins"/>
            <w:sz w:val="24"/>
            <w:szCs w:val="24"/>
          </w:rPr>
          <w:t>https://www.unesco.de/bildung/agenda-bildung-2030</w:t>
        </w:r>
      </w:hyperlink>
      <w:r w:rsidRPr="00D1021A">
        <w:rPr>
          <w:rFonts w:ascii="Poppins" w:eastAsia="Calibri" w:hAnsi="Poppins" w:cs="Poppins"/>
          <w:sz w:val="24"/>
          <w:szCs w:val="24"/>
        </w:rPr>
        <w:t xml:space="preserve"> [</w:t>
      </w:r>
      <w:r w:rsidR="0068013D">
        <w:rPr>
          <w:rFonts w:ascii="Poppins" w:eastAsia="Calibri" w:hAnsi="Poppins" w:cs="Poppins"/>
          <w:sz w:val="24"/>
          <w:szCs w:val="24"/>
        </w:rPr>
        <w:t>12</w:t>
      </w:r>
      <w:r w:rsidRPr="00D1021A">
        <w:rPr>
          <w:rFonts w:ascii="Poppins" w:eastAsia="Calibri" w:hAnsi="Poppins" w:cs="Poppins"/>
          <w:sz w:val="24"/>
          <w:szCs w:val="24"/>
        </w:rPr>
        <w:t>.0</w:t>
      </w:r>
      <w:r w:rsidR="0068013D">
        <w:rPr>
          <w:rFonts w:ascii="Poppins" w:eastAsia="Calibri" w:hAnsi="Poppins" w:cs="Poppins"/>
          <w:sz w:val="24"/>
          <w:szCs w:val="24"/>
        </w:rPr>
        <w:t>9</w:t>
      </w:r>
      <w:r w:rsidRPr="00D1021A">
        <w:rPr>
          <w:rFonts w:ascii="Poppins" w:eastAsia="Calibri" w:hAnsi="Poppins" w:cs="Poppins"/>
          <w:sz w:val="24"/>
          <w:szCs w:val="24"/>
        </w:rPr>
        <w:t>.</w:t>
      </w:r>
      <w:r w:rsidR="00B86E1F" w:rsidRPr="00D1021A">
        <w:rPr>
          <w:rFonts w:ascii="Poppins" w:eastAsia="Calibri" w:hAnsi="Poppins" w:cs="Poppins"/>
          <w:sz w:val="24"/>
          <w:szCs w:val="24"/>
        </w:rPr>
        <w:t>20</w:t>
      </w:r>
      <w:r w:rsidRPr="00D1021A">
        <w:rPr>
          <w:rFonts w:ascii="Poppins" w:eastAsia="Calibri" w:hAnsi="Poppins" w:cs="Poppins"/>
          <w:sz w:val="24"/>
          <w:szCs w:val="24"/>
        </w:rPr>
        <w:t>24].</w:t>
      </w:r>
    </w:p>
    <w:p w14:paraId="4C1A4B77" w14:textId="769E3C4F" w:rsidR="00D46469" w:rsidRPr="00D1021A" w:rsidRDefault="00D46469" w:rsidP="009B614E">
      <w:pPr>
        <w:spacing w:before="240" w:line="360" w:lineRule="auto"/>
        <w:ind w:left="-20" w:right="-20"/>
        <w:rPr>
          <w:rFonts w:ascii="Poppins" w:hAnsi="Poppins" w:cs="Poppins"/>
          <w:sz w:val="24"/>
          <w:szCs w:val="24"/>
        </w:rPr>
      </w:pPr>
      <w:r w:rsidRPr="00D1021A">
        <w:rPr>
          <w:rFonts w:ascii="Poppins" w:hAnsi="Poppins" w:cs="Poppins"/>
          <w:b/>
          <w:bCs/>
          <w:sz w:val="24"/>
          <w:szCs w:val="24"/>
        </w:rPr>
        <w:t xml:space="preserve">Villiger, C., </w:t>
      </w:r>
      <w:proofErr w:type="spellStart"/>
      <w:r w:rsidRPr="00D1021A">
        <w:rPr>
          <w:rFonts w:ascii="Poppins" w:hAnsi="Poppins" w:cs="Poppins"/>
          <w:b/>
          <w:bCs/>
          <w:sz w:val="24"/>
          <w:szCs w:val="24"/>
        </w:rPr>
        <w:t>Périsset</w:t>
      </w:r>
      <w:proofErr w:type="spellEnd"/>
      <w:r w:rsidRPr="00D1021A">
        <w:rPr>
          <w:rFonts w:ascii="Poppins" w:hAnsi="Poppins" w:cs="Poppins"/>
          <w:b/>
          <w:bCs/>
          <w:sz w:val="24"/>
          <w:szCs w:val="24"/>
        </w:rPr>
        <w:t xml:space="preserve">, D., &amp; </w:t>
      </w:r>
      <w:proofErr w:type="spellStart"/>
      <w:r w:rsidRPr="00D1021A">
        <w:rPr>
          <w:rFonts w:ascii="Poppins" w:hAnsi="Poppins" w:cs="Poppins"/>
          <w:b/>
          <w:bCs/>
          <w:sz w:val="24"/>
          <w:szCs w:val="24"/>
        </w:rPr>
        <w:t>Losa</w:t>
      </w:r>
      <w:proofErr w:type="spellEnd"/>
      <w:r w:rsidRPr="00D1021A">
        <w:rPr>
          <w:rFonts w:ascii="Poppins" w:hAnsi="Poppins" w:cs="Poppins"/>
          <w:b/>
          <w:bCs/>
          <w:sz w:val="24"/>
          <w:szCs w:val="24"/>
        </w:rPr>
        <w:t>, S. (2019).</w:t>
      </w:r>
      <w:r w:rsidRPr="00D1021A">
        <w:rPr>
          <w:rFonts w:ascii="Poppins" w:hAnsi="Poppins" w:cs="Poppins"/>
          <w:sz w:val="24"/>
          <w:szCs w:val="24"/>
        </w:rPr>
        <w:t xml:space="preserve"> Die Umstellung unserer Zeitschrift auf Open Access und Komplett-Digitalisierung. Schweizerische Zeitschrift für Bildungswissenschaften, 41(1), 1-4.</w:t>
      </w:r>
      <w:r w:rsidR="00B86E1F" w:rsidRPr="00D1021A">
        <w:rPr>
          <w:rFonts w:ascii="Poppins" w:hAnsi="Poppins" w:cs="Poppins"/>
          <w:sz w:val="24"/>
          <w:szCs w:val="24"/>
        </w:rPr>
        <w:t xml:space="preserve"> Online verfügbar unter: </w:t>
      </w:r>
      <w:hyperlink r:id="rId62" w:history="1">
        <w:r w:rsidR="00B86E1F" w:rsidRPr="00D1021A">
          <w:rPr>
            <w:rStyle w:val="Hyperlink"/>
            <w:rFonts w:ascii="Poppins" w:hAnsi="Poppins" w:cs="Poppins"/>
            <w:sz w:val="24"/>
            <w:szCs w:val="24"/>
          </w:rPr>
          <w:t>https://www.pedocs.de/volltexte/2019/17722/pdf/SZBW_2019_1_Villiger_PCorisset_Losa_Editorial_de.pdf</w:t>
        </w:r>
      </w:hyperlink>
      <w:r w:rsidR="00B86E1F" w:rsidRPr="00D1021A">
        <w:rPr>
          <w:rFonts w:ascii="Poppins" w:hAnsi="Poppins" w:cs="Poppins"/>
          <w:sz w:val="24"/>
          <w:szCs w:val="24"/>
        </w:rPr>
        <w:t xml:space="preserve"> [</w:t>
      </w:r>
      <w:r w:rsidR="0068013D">
        <w:rPr>
          <w:rFonts w:ascii="Poppins" w:hAnsi="Poppins" w:cs="Poppins"/>
          <w:sz w:val="24"/>
          <w:szCs w:val="24"/>
        </w:rPr>
        <w:t>12</w:t>
      </w:r>
      <w:r w:rsidR="00B86E1F" w:rsidRPr="00D1021A">
        <w:rPr>
          <w:rFonts w:ascii="Poppins" w:hAnsi="Poppins" w:cs="Poppins"/>
          <w:sz w:val="24"/>
          <w:szCs w:val="24"/>
        </w:rPr>
        <w:t>.09.2024]</w:t>
      </w:r>
      <w:r w:rsidR="000C2B5C" w:rsidRPr="00D1021A">
        <w:rPr>
          <w:rFonts w:ascii="Poppins" w:hAnsi="Poppins" w:cs="Poppins"/>
          <w:sz w:val="24"/>
          <w:szCs w:val="24"/>
        </w:rPr>
        <w:t>.</w:t>
      </w:r>
    </w:p>
    <w:p w14:paraId="6CE995AC" w14:textId="77B38790" w:rsidR="0040385C" w:rsidRPr="006416ED" w:rsidRDefault="00046E90" w:rsidP="009B614E">
      <w:pPr>
        <w:spacing w:before="240" w:line="360" w:lineRule="auto"/>
        <w:ind w:left="-20" w:right="-20"/>
        <w:rPr>
          <w:rFonts w:ascii="Poppins" w:hAnsi="Poppins" w:cs="Poppins"/>
          <w:sz w:val="24"/>
          <w:szCs w:val="24"/>
          <w:lang w:val="en-US"/>
        </w:rPr>
      </w:pPr>
      <w:proofErr w:type="spellStart"/>
      <w:r w:rsidRPr="006416ED">
        <w:rPr>
          <w:rFonts w:ascii="Poppins" w:hAnsi="Poppins" w:cs="Poppins"/>
          <w:b/>
          <w:bCs/>
          <w:sz w:val="24"/>
          <w:szCs w:val="24"/>
          <w:lang w:val="en-US"/>
        </w:rPr>
        <w:lastRenderedPageBreak/>
        <w:t>Vlădoiu</w:t>
      </w:r>
      <w:proofErr w:type="spellEnd"/>
      <w:r w:rsidRPr="006416ED">
        <w:rPr>
          <w:rFonts w:ascii="Poppins" w:hAnsi="Poppins" w:cs="Poppins"/>
          <w:b/>
          <w:bCs/>
          <w:sz w:val="24"/>
          <w:szCs w:val="24"/>
          <w:lang w:val="en-US"/>
        </w:rPr>
        <w:t>, M. (201</w:t>
      </w:r>
      <w:r w:rsidR="00FD2A7E" w:rsidRPr="006416ED">
        <w:rPr>
          <w:rFonts w:ascii="Poppins" w:hAnsi="Poppins" w:cs="Poppins"/>
          <w:b/>
          <w:bCs/>
          <w:sz w:val="24"/>
          <w:szCs w:val="24"/>
          <w:lang w:val="en-US"/>
        </w:rPr>
        <w:t>2</w:t>
      </w:r>
      <w:r w:rsidRPr="006416ED">
        <w:rPr>
          <w:rFonts w:ascii="Poppins" w:hAnsi="Poppins" w:cs="Poppins"/>
          <w:b/>
          <w:bCs/>
          <w:sz w:val="24"/>
          <w:szCs w:val="24"/>
          <w:lang w:val="en-US"/>
        </w:rPr>
        <w:t>).</w:t>
      </w:r>
      <w:r w:rsidRPr="006416ED">
        <w:rPr>
          <w:rFonts w:ascii="Poppins" w:hAnsi="Poppins" w:cs="Poppins"/>
          <w:sz w:val="24"/>
          <w:szCs w:val="24"/>
          <w:lang w:val="en-US"/>
        </w:rPr>
        <w:t xml:space="preserve"> Towards a Quality Model for Open Courseware and Open</w:t>
      </w:r>
      <w:r w:rsidR="00E10342" w:rsidRPr="006416ED">
        <w:rPr>
          <w:rFonts w:ascii="Poppins" w:hAnsi="Poppins" w:cs="Poppins"/>
          <w:sz w:val="24"/>
          <w:szCs w:val="24"/>
          <w:lang w:val="en-US"/>
        </w:rPr>
        <w:t xml:space="preserve"> </w:t>
      </w:r>
      <w:r w:rsidRPr="006416ED">
        <w:rPr>
          <w:rFonts w:ascii="Poppins" w:hAnsi="Poppins" w:cs="Poppins"/>
          <w:sz w:val="24"/>
          <w:szCs w:val="24"/>
          <w:lang w:val="en-US"/>
        </w:rPr>
        <w:t>Educational Resources. In</w:t>
      </w:r>
      <w:r w:rsidR="00F3327E" w:rsidRPr="006416ED">
        <w:rPr>
          <w:rFonts w:ascii="Poppins" w:hAnsi="Poppins" w:cs="Poppins"/>
          <w:sz w:val="24"/>
          <w:szCs w:val="24"/>
          <w:lang w:val="en-US"/>
        </w:rPr>
        <w:t>:</w:t>
      </w:r>
      <w:r w:rsidRPr="006416ED">
        <w:rPr>
          <w:rFonts w:ascii="Poppins" w:hAnsi="Poppins" w:cs="Poppins"/>
          <w:sz w:val="24"/>
          <w:szCs w:val="24"/>
          <w:lang w:val="en-US"/>
        </w:rPr>
        <w:t xml:space="preserve"> New Horizons in Web Based Learning: ICWL 2011 International Workshops, KMEL, ELSM, and </w:t>
      </w:r>
      <w:proofErr w:type="spellStart"/>
      <w:r w:rsidRPr="006416ED">
        <w:rPr>
          <w:rFonts w:ascii="Poppins" w:hAnsi="Poppins" w:cs="Poppins"/>
          <w:sz w:val="24"/>
          <w:szCs w:val="24"/>
          <w:lang w:val="en-US"/>
        </w:rPr>
        <w:t>SPeL</w:t>
      </w:r>
      <w:proofErr w:type="spellEnd"/>
      <w:r w:rsidRPr="006416ED">
        <w:rPr>
          <w:rFonts w:ascii="Poppins" w:hAnsi="Poppins" w:cs="Poppins"/>
          <w:sz w:val="24"/>
          <w:szCs w:val="24"/>
          <w:lang w:val="en-US"/>
        </w:rPr>
        <w:t xml:space="preserve">, Hong Kong, December 8-10, 2011, ICWL 2012 International Workshops, KMEL, </w:t>
      </w:r>
      <w:proofErr w:type="spellStart"/>
      <w:r w:rsidRPr="006416ED">
        <w:rPr>
          <w:rFonts w:ascii="Poppins" w:hAnsi="Poppins" w:cs="Poppins"/>
          <w:sz w:val="24"/>
          <w:szCs w:val="24"/>
          <w:lang w:val="en-US"/>
        </w:rPr>
        <w:t>SciLearn</w:t>
      </w:r>
      <w:proofErr w:type="spellEnd"/>
      <w:r w:rsidRPr="006416ED">
        <w:rPr>
          <w:rFonts w:ascii="Poppins" w:hAnsi="Poppins" w:cs="Poppins"/>
          <w:sz w:val="24"/>
          <w:szCs w:val="24"/>
          <w:lang w:val="en-US"/>
        </w:rPr>
        <w:t xml:space="preserve">, and CCSTED, Sinaia, Romania, September 2-4, 2012. Revised Selected Papers 11 (pp. 213-220). </w:t>
      </w:r>
      <w:r w:rsidR="005D1EB4" w:rsidRPr="006416ED">
        <w:rPr>
          <w:rFonts w:ascii="Poppins" w:hAnsi="Poppins" w:cs="Poppins"/>
          <w:sz w:val="24"/>
          <w:szCs w:val="24"/>
          <w:lang w:val="en-US"/>
        </w:rPr>
        <w:t xml:space="preserve">Heidelberg &amp; Berlin: </w:t>
      </w:r>
      <w:r w:rsidRPr="006416ED">
        <w:rPr>
          <w:rFonts w:ascii="Poppins" w:hAnsi="Poppins" w:cs="Poppins"/>
          <w:sz w:val="24"/>
          <w:szCs w:val="24"/>
          <w:lang w:val="en-US"/>
        </w:rPr>
        <w:t xml:space="preserve">Springer </w:t>
      </w:r>
      <w:r w:rsidR="005D1EB4" w:rsidRPr="006416ED">
        <w:rPr>
          <w:rFonts w:ascii="Poppins" w:hAnsi="Poppins" w:cs="Poppins"/>
          <w:sz w:val="24"/>
          <w:szCs w:val="24"/>
          <w:lang w:val="en-US"/>
        </w:rPr>
        <w:t>Verlag</w:t>
      </w:r>
      <w:r w:rsidRPr="006416ED">
        <w:rPr>
          <w:rFonts w:ascii="Poppins" w:hAnsi="Poppins" w:cs="Poppins"/>
          <w:sz w:val="24"/>
          <w:szCs w:val="24"/>
          <w:lang w:val="en-US"/>
        </w:rPr>
        <w:t>.</w:t>
      </w:r>
    </w:p>
    <w:p w14:paraId="3A7E3C25" w14:textId="19415620" w:rsidR="000A4ECE" w:rsidRPr="00D1021A" w:rsidRDefault="000A4ECE" w:rsidP="009B614E">
      <w:pPr>
        <w:spacing w:before="240" w:line="360" w:lineRule="auto"/>
        <w:ind w:left="-20" w:right="-20"/>
        <w:rPr>
          <w:rFonts w:ascii="Poppins" w:eastAsia="Calibri" w:hAnsi="Poppins" w:cs="Poppins"/>
          <w:b/>
          <w:bCs/>
          <w:color w:val="000000" w:themeColor="text1"/>
          <w:sz w:val="24"/>
          <w:szCs w:val="24"/>
        </w:rPr>
      </w:pPr>
      <w:r w:rsidRPr="006416ED">
        <w:rPr>
          <w:rFonts w:ascii="Poppins" w:eastAsia="Calibri" w:hAnsi="Poppins" w:cs="Poppins"/>
          <w:b/>
          <w:bCs/>
          <w:color w:val="000000" w:themeColor="text1"/>
          <w:sz w:val="24"/>
          <w:szCs w:val="24"/>
          <w:lang w:val="en-US"/>
        </w:rPr>
        <w:t xml:space="preserve">WCAG 2.1 (2023). </w:t>
      </w:r>
      <w:r w:rsidRPr="006416ED">
        <w:rPr>
          <w:rFonts w:ascii="Poppins" w:hAnsi="Poppins" w:cs="Poppins"/>
          <w:sz w:val="24"/>
          <w:szCs w:val="24"/>
          <w:lang w:val="en-US"/>
        </w:rPr>
        <w:t>Web Content Accessibility Guidelines 2.1. World</w:t>
      </w:r>
      <w:r w:rsidRPr="006416ED">
        <w:rPr>
          <w:rFonts w:ascii="Poppins" w:eastAsia="Calibri" w:hAnsi="Poppins" w:cs="Poppins"/>
          <w:color w:val="000000" w:themeColor="text1"/>
          <w:sz w:val="24"/>
          <w:szCs w:val="24"/>
          <w:lang w:val="en-US"/>
        </w:rPr>
        <w:t xml:space="preserve"> Wide Web Consortium (W3C). </w:t>
      </w:r>
      <w:r w:rsidRPr="00D1021A">
        <w:rPr>
          <w:rFonts w:ascii="Poppins" w:eastAsia="Calibri" w:hAnsi="Poppins" w:cs="Poppins"/>
          <w:color w:val="000000" w:themeColor="text1"/>
          <w:sz w:val="24"/>
          <w:szCs w:val="24"/>
        </w:rPr>
        <w:t xml:space="preserve">Online verfügbar unter: </w:t>
      </w:r>
      <w:hyperlink r:id="rId63" w:history="1">
        <w:r w:rsidRPr="00D1021A">
          <w:rPr>
            <w:rStyle w:val="Hyperlink"/>
            <w:rFonts w:ascii="Poppins" w:eastAsia="Calibri" w:hAnsi="Poppins" w:cs="Poppins"/>
            <w:sz w:val="24"/>
            <w:szCs w:val="24"/>
          </w:rPr>
          <w:t>https://www.w3.org/TR/WCAG21/</w:t>
        </w:r>
      </w:hyperlink>
      <w:r w:rsidRPr="00D1021A">
        <w:rPr>
          <w:rFonts w:ascii="Poppins" w:eastAsia="Calibri" w:hAnsi="Poppins" w:cs="Poppins"/>
          <w:color w:val="000000" w:themeColor="text1"/>
          <w:sz w:val="24"/>
          <w:szCs w:val="24"/>
        </w:rPr>
        <w:t xml:space="preserve"> [1</w:t>
      </w:r>
      <w:r w:rsidR="00734DAE">
        <w:rPr>
          <w:rFonts w:ascii="Poppins" w:eastAsia="Calibri" w:hAnsi="Poppins" w:cs="Poppins"/>
          <w:color w:val="000000" w:themeColor="text1"/>
          <w:sz w:val="24"/>
          <w:szCs w:val="24"/>
        </w:rPr>
        <w:t>2</w:t>
      </w:r>
      <w:r w:rsidRPr="00D1021A">
        <w:rPr>
          <w:rFonts w:ascii="Poppins" w:eastAsia="Calibri" w:hAnsi="Poppins" w:cs="Poppins"/>
          <w:color w:val="000000" w:themeColor="text1"/>
          <w:sz w:val="24"/>
          <w:szCs w:val="24"/>
        </w:rPr>
        <w:t>.09.2024].</w:t>
      </w:r>
    </w:p>
    <w:p w14:paraId="581FD541" w14:textId="7B846726" w:rsidR="0040385C" w:rsidRPr="00D1021A" w:rsidRDefault="00046E90" w:rsidP="009B614E">
      <w:pPr>
        <w:spacing w:before="240" w:line="360" w:lineRule="auto"/>
        <w:rPr>
          <w:rFonts w:ascii="Poppins" w:eastAsia="Calibri" w:hAnsi="Poppins" w:cs="Poppins"/>
          <w:color w:val="000000" w:themeColor="text1"/>
          <w:sz w:val="24"/>
          <w:szCs w:val="24"/>
        </w:rPr>
      </w:pPr>
      <w:r w:rsidRPr="00D1021A">
        <w:rPr>
          <w:rFonts w:ascii="Poppins" w:eastAsia="Calibri" w:hAnsi="Poppins" w:cs="Poppins"/>
          <w:b/>
          <w:bCs/>
          <w:color w:val="000000" w:themeColor="text1"/>
          <w:sz w:val="24"/>
          <w:szCs w:val="24"/>
        </w:rPr>
        <w:t>Wiley, D. (2014).</w:t>
      </w:r>
      <w:r w:rsidRPr="00D1021A">
        <w:rPr>
          <w:rFonts w:ascii="Poppins" w:eastAsia="Calibri" w:hAnsi="Poppins" w:cs="Poppins"/>
          <w:color w:val="000000" w:themeColor="text1"/>
          <w:sz w:val="24"/>
          <w:szCs w:val="24"/>
        </w:rPr>
        <w:t xml:space="preserve"> </w:t>
      </w:r>
      <w:r w:rsidRPr="006416ED">
        <w:rPr>
          <w:rFonts w:ascii="Poppins" w:eastAsia="Calibri" w:hAnsi="Poppins" w:cs="Poppins"/>
          <w:color w:val="000000" w:themeColor="text1"/>
          <w:sz w:val="24"/>
          <w:szCs w:val="24"/>
          <w:lang w:val="en-US"/>
        </w:rPr>
        <w:t xml:space="preserve">The Access Compromise and the 5th R – improving learning. </w:t>
      </w:r>
      <w:r w:rsidRPr="00D1021A">
        <w:rPr>
          <w:rFonts w:ascii="Poppins" w:eastAsia="Calibri" w:hAnsi="Poppins" w:cs="Poppins"/>
          <w:color w:val="000000" w:themeColor="text1"/>
          <w:sz w:val="24"/>
          <w:szCs w:val="24"/>
        </w:rPr>
        <w:t xml:space="preserve">Online verfügbar unter: </w:t>
      </w:r>
      <w:hyperlink r:id="rId64" w:history="1">
        <w:r w:rsidR="00734DAE">
          <w:rPr>
            <w:rStyle w:val="Hyperlink"/>
            <w:rFonts w:ascii="Poppins" w:eastAsia="Calibri" w:hAnsi="Poppins" w:cs="Poppins"/>
            <w:sz w:val="24"/>
            <w:szCs w:val="24"/>
          </w:rPr>
          <w:t>https://opencontent.org/blog/archives/3221</w:t>
        </w:r>
      </w:hyperlink>
      <w:r w:rsidRPr="00D1021A">
        <w:rPr>
          <w:rFonts w:ascii="Poppins" w:eastAsia="Calibri" w:hAnsi="Poppins" w:cs="Poppins"/>
          <w:color w:val="000000" w:themeColor="text1"/>
          <w:sz w:val="24"/>
          <w:szCs w:val="24"/>
        </w:rPr>
        <w:t xml:space="preserve"> [</w:t>
      </w:r>
      <w:r w:rsidR="00734DAE">
        <w:rPr>
          <w:rFonts w:ascii="Poppins" w:eastAsia="Calibri" w:hAnsi="Poppins" w:cs="Poppins"/>
          <w:color w:val="000000" w:themeColor="text1"/>
          <w:sz w:val="24"/>
          <w:szCs w:val="24"/>
        </w:rPr>
        <w:t>12</w:t>
      </w:r>
      <w:r w:rsidRPr="00D1021A">
        <w:rPr>
          <w:rFonts w:ascii="Poppins" w:eastAsia="Calibri" w:hAnsi="Poppins" w:cs="Poppins"/>
          <w:color w:val="000000" w:themeColor="text1"/>
          <w:sz w:val="24"/>
          <w:szCs w:val="24"/>
        </w:rPr>
        <w:t>.09.202</w:t>
      </w:r>
      <w:r w:rsidR="00B86E1F" w:rsidRPr="00D1021A">
        <w:rPr>
          <w:rFonts w:ascii="Poppins" w:eastAsia="Calibri" w:hAnsi="Poppins" w:cs="Poppins"/>
          <w:color w:val="000000" w:themeColor="text1"/>
          <w:sz w:val="24"/>
          <w:szCs w:val="24"/>
        </w:rPr>
        <w:t>4</w:t>
      </w:r>
      <w:r w:rsidRPr="00D1021A">
        <w:rPr>
          <w:rFonts w:ascii="Poppins" w:eastAsia="Calibri" w:hAnsi="Poppins" w:cs="Poppins"/>
          <w:color w:val="000000" w:themeColor="text1"/>
          <w:sz w:val="24"/>
          <w:szCs w:val="24"/>
        </w:rPr>
        <w:t>].</w:t>
      </w:r>
    </w:p>
    <w:p w14:paraId="25C123C2" w14:textId="7066CE03" w:rsidR="00DA4ED5" w:rsidRPr="00D1021A" w:rsidRDefault="00DA4ED5" w:rsidP="009B614E">
      <w:pPr>
        <w:spacing w:before="240" w:line="360" w:lineRule="auto"/>
        <w:rPr>
          <w:rFonts w:ascii="Poppins" w:eastAsiaTheme="minorEastAsia" w:hAnsi="Poppins" w:cs="Poppins"/>
          <w:color w:val="000000" w:themeColor="text1"/>
          <w:sz w:val="24"/>
          <w:szCs w:val="24"/>
        </w:rPr>
      </w:pPr>
      <w:r w:rsidRPr="00D1021A">
        <w:rPr>
          <w:rFonts w:ascii="Poppins" w:eastAsiaTheme="minorEastAsia" w:hAnsi="Poppins" w:cs="Poppins"/>
          <w:b/>
          <w:bCs/>
          <w:color w:val="000000" w:themeColor="text1"/>
          <w:sz w:val="24"/>
          <w:szCs w:val="24"/>
        </w:rPr>
        <w:t xml:space="preserve">Wiley, D., &amp; Hilton </w:t>
      </w:r>
      <w:proofErr w:type="spellStart"/>
      <w:r w:rsidRPr="00D1021A">
        <w:rPr>
          <w:rFonts w:ascii="Poppins" w:eastAsiaTheme="minorEastAsia" w:hAnsi="Poppins" w:cs="Poppins"/>
          <w:b/>
          <w:bCs/>
          <w:color w:val="000000" w:themeColor="text1"/>
          <w:sz w:val="24"/>
          <w:szCs w:val="24"/>
        </w:rPr>
        <w:t>Iii</w:t>
      </w:r>
      <w:proofErr w:type="spellEnd"/>
      <w:r w:rsidRPr="00D1021A">
        <w:rPr>
          <w:rFonts w:ascii="Poppins" w:eastAsiaTheme="minorEastAsia" w:hAnsi="Poppins" w:cs="Poppins"/>
          <w:b/>
          <w:bCs/>
          <w:color w:val="000000" w:themeColor="text1"/>
          <w:sz w:val="24"/>
          <w:szCs w:val="24"/>
        </w:rPr>
        <w:t>, J. L. (2018).</w:t>
      </w:r>
      <w:r w:rsidRPr="00D1021A">
        <w:rPr>
          <w:rFonts w:ascii="Poppins" w:eastAsiaTheme="minorEastAsia" w:hAnsi="Poppins" w:cs="Poppins"/>
          <w:color w:val="000000" w:themeColor="text1"/>
          <w:sz w:val="24"/>
          <w:szCs w:val="24"/>
        </w:rPr>
        <w:t xml:space="preserve"> </w:t>
      </w:r>
      <w:r w:rsidRPr="006416ED">
        <w:rPr>
          <w:rFonts w:ascii="Poppins" w:eastAsiaTheme="minorEastAsia" w:hAnsi="Poppins" w:cs="Poppins"/>
          <w:color w:val="000000" w:themeColor="text1"/>
          <w:sz w:val="24"/>
          <w:szCs w:val="24"/>
          <w:lang w:val="en-US"/>
        </w:rPr>
        <w:t>Defining OER-enabled pedagogy. The International Review of Research in Open and Distributed Learning, 19(4).</w:t>
      </w:r>
      <w:r w:rsidR="00B86E1F" w:rsidRPr="006416ED">
        <w:rPr>
          <w:rFonts w:ascii="Poppins" w:eastAsiaTheme="minorEastAsia" w:hAnsi="Poppins" w:cs="Poppins"/>
          <w:color w:val="000000" w:themeColor="text1"/>
          <w:sz w:val="24"/>
          <w:szCs w:val="24"/>
          <w:lang w:val="en-US"/>
        </w:rPr>
        <w:t xml:space="preserve"> </w:t>
      </w:r>
      <w:r w:rsidR="00734DAE">
        <w:rPr>
          <w:rFonts w:ascii="Poppins" w:eastAsiaTheme="minorEastAsia" w:hAnsi="Poppins" w:cs="Poppins"/>
          <w:color w:val="000000" w:themeColor="text1"/>
          <w:sz w:val="24"/>
          <w:szCs w:val="24"/>
        </w:rPr>
        <w:t xml:space="preserve">DOI: </w:t>
      </w:r>
      <w:hyperlink r:id="rId65" w:history="1">
        <w:r w:rsidR="00734DAE" w:rsidRPr="00426F95">
          <w:rPr>
            <w:rStyle w:val="Hyperlink"/>
            <w:rFonts w:ascii="Poppins" w:eastAsiaTheme="minorEastAsia" w:hAnsi="Poppins" w:cs="Poppins"/>
            <w:sz w:val="24"/>
            <w:szCs w:val="24"/>
          </w:rPr>
          <w:t>https://doi.org/10.19173/irrodl.v19i4.3601</w:t>
        </w:r>
      </w:hyperlink>
      <w:r w:rsidR="00734DAE">
        <w:rPr>
          <w:rFonts w:ascii="Poppins" w:eastAsiaTheme="minorEastAsia" w:hAnsi="Poppins" w:cs="Poppins"/>
          <w:color w:val="000000" w:themeColor="text1"/>
          <w:sz w:val="24"/>
          <w:szCs w:val="24"/>
        </w:rPr>
        <w:t>.</w:t>
      </w:r>
    </w:p>
    <w:p w14:paraId="699784D4" w14:textId="4144832A" w:rsidR="0040385C" w:rsidRPr="00D1021A" w:rsidRDefault="00046E90" w:rsidP="009B614E">
      <w:pPr>
        <w:spacing w:before="240" w:line="360" w:lineRule="auto"/>
        <w:rPr>
          <w:rFonts w:ascii="Poppins" w:eastAsiaTheme="minorEastAsia" w:hAnsi="Poppins" w:cs="Poppins"/>
          <w:color w:val="000000" w:themeColor="text1"/>
          <w:sz w:val="24"/>
          <w:szCs w:val="24"/>
        </w:rPr>
      </w:pPr>
      <w:proofErr w:type="spellStart"/>
      <w:r w:rsidRPr="00D1021A">
        <w:rPr>
          <w:rFonts w:ascii="Poppins" w:eastAsiaTheme="minorEastAsia" w:hAnsi="Poppins" w:cs="Poppins"/>
          <w:b/>
          <w:bCs/>
          <w:color w:val="000000" w:themeColor="text1"/>
          <w:sz w:val="24"/>
          <w:szCs w:val="24"/>
        </w:rPr>
        <w:t>Zawacki</w:t>
      </w:r>
      <w:proofErr w:type="spellEnd"/>
      <w:r w:rsidRPr="00D1021A">
        <w:rPr>
          <w:rFonts w:ascii="Poppins" w:eastAsiaTheme="minorEastAsia" w:hAnsi="Poppins" w:cs="Poppins"/>
          <w:b/>
          <w:bCs/>
          <w:color w:val="000000" w:themeColor="text1"/>
          <w:sz w:val="24"/>
          <w:szCs w:val="24"/>
        </w:rPr>
        <w:t xml:space="preserve">-Richter, O. &amp; </w:t>
      </w:r>
      <w:proofErr w:type="spellStart"/>
      <w:r w:rsidRPr="00D1021A">
        <w:rPr>
          <w:rFonts w:ascii="Poppins" w:eastAsiaTheme="minorEastAsia" w:hAnsi="Poppins" w:cs="Poppins"/>
          <w:b/>
          <w:bCs/>
          <w:color w:val="000000" w:themeColor="text1"/>
          <w:sz w:val="24"/>
          <w:szCs w:val="24"/>
        </w:rPr>
        <w:t>Mayrberger</w:t>
      </w:r>
      <w:proofErr w:type="spellEnd"/>
      <w:r w:rsidRPr="00D1021A">
        <w:rPr>
          <w:rFonts w:ascii="Poppins" w:eastAsiaTheme="minorEastAsia" w:hAnsi="Poppins" w:cs="Poppins"/>
          <w:b/>
          <w:bCs/>
          <w:color w:val="000000" w:themeColor="text1"/>
          <w:sz w:val="24"/>
          <w:szCs w:val="24"/>
        </w:rPr>
        <w:t>, K.</w:t>
      </w:r>
      <w:r w:rsidRPr="00D1021A">
        <w:rPr>
          <w:rFonts w:ascii="Poppins" w:eastAsiaTheme="minorEastAsia" w:hAnsi="Poppins" w:cs="Poppins"/>
          <w:color w:val="000000" w:themeColor="text1"/>
          <w:sz w:val="24"/>
          <w:szCs w:val="24"/>
        </w:rPr>
        <w:t xml:space="preserve"> </w:t>
      </w:r>
      <w:r w:rsidRPr="00D1021A">
        <w:rPr>
          <w:rFonts w:ascii="Poppins" w:eastAsiaTheme="minorEastAsia" w:hAnsi="Poppins" w:cs="Poppins"/>
          <w:b/>
          <w:bCs/>
          <w:color w:val="000000" w:themeColor="text1"/>
          <w:sz w:val="24"/>
          <w:szCs w:val="24"/>
        </w:rPr>
        <w:t>(2017).</w:t>
      </w:r>
      <w:r w:rsidRPr="00D1021A">
        <w:rPr>
          <w:rFonts w:ascii="Poppins" w:eastAsiaTheme="minorEastAsia" w:hAnsi="Poppins" w:cs="Poppins"/>
          <w:color w:val="000000" w:themeColor="text1"/>
          <w:sz w:val="24"/>
          <w:szCs w:val="24"/>
        </w:rPr>
        <w:t xml:space="preserve"> Qualität von OER: Internationale Bestandsaufnahme von Instrumenten zur Qualitätssicherung von Open Educational Resources (OER) </w:t>
      </w:r>
      <w:r w:rsidR="00F3327E" w:rsidRPr="00D1021A">
        <w:rPr>
          <w:rFonts w:ascii="Poppins" w:eastAsia="Calibri" w:hAnsi="Poppins" w:cs="Poppins"/>
          <w:color w:val="000000" w:themeColor="text1"/>
          <w:sz w:val="24"/>
          <w:szCs w:val="24"/>
        </w:rPr>
        <w:t xml:space="preserve">– </w:t>
      </w:r>
      <w:r w:rsidRPr="00D1021A">
        <w:rPr>
          <w:rFonts w:ascii="Poppins" w:eastAsiaTheme="minorEastAsia" w:hAnsi="Poppins" w:cs="Poppins"/>
          <w:color w:val="000000" w:themeColor="text1"/>
          <w:sz w:val="24"/>
          <w:szCs w:val="24"/>
        </w:rPr>
        <w:t>Schritte zu einem deutschen Modell am Beispiel der Hamburg Open Online University. Universität Hamburg, Universitätskolleg</w:t>
      </w:r>
      <w:r w:rsidR="00F3327E" w:rsidRPr="00D1021A">
        <w:rPr>
          <w:rFonts w:ascii="Poppins" w:eastAsiaTheme="minorEastAsia" w:hAnsi="Poppins" w:cs="Poppins"/>
          <w:color w:val="000000" w:themeColor="text1"/>
          <w:sz w:val="24"/>
          <w:szCs w:val="24"/>
        </w:rPr>
        <w:t>.</w:t>
      </w:r>
      <w:r w:rsidR="00B86E1F" w:rsidRPr="00D1021A">
        <w:rPr>
          <w:rFonts w:ascii="Poppins" w:eastAsiaTheme="minorEastAsia" w:hAnsi="Poppins" w:cs="Poppins"/>
          <w:color w:val="000000" w:themeColor="text1"/>
          <w:sz w:val="24"/>
          <w:szCs w:val="24"/>
        </w:rPr>
        <w:t xml:space="preserve"> Online verfügbar unter: </w:t>
      </w:r>
      <w:hyperlink r:id="rId66" w:history="1">
        <w:r w:rsidR="00B86E1F" w:rsidRPr="00D1021A">
          <w:rPr>
            <w:rStyle w:val="Hyperlink"/>
            <w:rFonts w:ascii="Poppins" w:eastAsiaTheme="minorEastAsia" w:hAnsi="Poppins" w:cs="Poppins"/>
            <w:sz w:val="24"/>
            <w:szCs w:val="24"/>
          </w:rPr>
          <w:t>https://epub.sub.uni-hamburg.de/epub/volltexte/2018/76394/pdf/qualitaet_von_oer_2017_1.pdf</w:t>
        </w:r>
      </w:hyperlink>
      <w:r w:rsidR="00B86E1F" w:rsidRPr="00D1021A">
        <w:rPr>
          <w:rFonts w:ascii="Poppins" w:eastAsiaTheme="minorEastAsia" w:hAnsi="Poppins" w:cs="Poppins"/>
          <w:color w:val="000000" w:themeColor="text1"/>
          <w:sz w:val="24"/>
          <w:szCs w:val="24"/>
        </w:rPr>
        <w:t xml:space="preserve"> [</w:t>
      </w:r>
      <w:r w:rsidR="00734DAE">
        <w:rPr>
          <w:rFonts w:ascii="Poppins" w:eastAsiaTheme="minorEastAsia" w:hAnsi="Poppins" w:cs="Poppins"/>
          <w:color w:val="000000" w:themeColor="text1"/>
          <w:sz w:val="24"/>
          <w:szCs w:val="24"/>
        </w:rPr>
        <w:t>12</w:t>
      </w:r>
      <w:r w:rsidR="00B86E1F" w:rsidRPr="00D1021A">
        <w:rPr>
          <w:rFonts w:ascii="Poppins" w:eastAsiaTheme="minorEastAsia" w:hAnsi="Poppins" w:cs="Poppins"/>
          <w:color w:val="000000" w:themeColor="text1"/>
          <w:sz w:val="24"/>
          <w:szCs w:val="24"/>
        </w:rPr>
        <w:t>.09.2024]</w:t>
      </w:r>
      <w:r w:rsidR="000C2B5C" w:rsidRPr="00D1021A">
        <w:rPr>
          <w:rFonts w:ascii="Poppins" w:eastAsiaTheme="minorEastAsia" w:hAnsi="Poppins" w:cs="Poppins"/>
          <w:color w:val="000000" w:themeColor="text1"/>
          <w:sz w:val="24"/>
          <w:szCs w:val="24"/>
        </w:rPr>
        <w:t>.</w:t>
      </w:r>
    </w:p>
    <w:p w14:paraId="0BEFFCAB" w14:textId="78E6BF77" w:rsidR="005D2DED" w:rsidRPr="00D1021A" w:rsidRDefault="005D2DED" w:rsidP="009B614E">
      <w:pPr>
        <w:spacing w:before="240" w:line="360" w:lineRule="auto"/>
        <w:rPr>
          <w:rFonts w:ascii="Poppins" w:eastAsia="Calibri" w:hAnsi="Poppins" w:cs="Poppins"/>
          <w:color w:val="000000" w:themeColor="text1"/>
          <w:sz w:val="24"/>
          <w:szCs w:val="24"/>
        </w:rPr>
      </w:pPr>
      <w:proofErr w:type="spellStart"/>
      <w:r w:rsidRPr="00D1021A">
        <w:rPr>
          <w:rFonts w:ascii="Poppins" w:eastAsia="Calibri" w:hAnsi="Poppins" w:cs="Poppins"/>
          <w:b/>
          <w:bCs/>
          <w:color w:val="000000" w:themeColor="text1"/>
          <w:sz w:val="24"/>
          <w:szCs w:val="24"/>
        </w:rPr>
        <w:lastRenderedPageBreak/>
        <w:t>Zawacki</w:t>
      </w:r>
      <w:proofErr w:type="spellEnd"/>
      <w:r w:rsidRPr="00D1021A">
        <w:rPr>
          <w:rFonts w:ascii="Poppins" w:eastAsia="Calibri" w:hAnsi="Poppins" w:cs="Poppins"/>
          <w:b/>
          <w:bCs/>
          <w:color w:val="000000" w:themeColor="text1"/>
          <w:sz w:val="24"/>
          <w:szCs w:val="24"/>
        </w:rPr>
        <w:t xml:space="preserve">-Richter, O., </w:t>
      </w:r>
      <w:proofErr w:type="spellStart"/>
      <w:r w:rsidRPr="00D1021A">
        <w:rPr>
          <w:rFonts w:ascii="Poppins" w:eastAsia="Calibri" w:hAnsi="Poppins" w:cs="Poppins"/>
          <w:b/>
          <w:bCs/>
          <w:color w:val="000000" w:themeColor="text1"/>
          <w:sz w:val="24"/>
          <w:szCs w:val="24"/>
        </w:rPr>
        <w:t>Müskens</w:t>
      </w:r>
      <w:proofErr w:type="spellEnd"/>
      <w:r w:rsidRPr="00D1021A">
        <w:rPr>
          <w:rFonts w:ascii="Poppins" w:eastAsia="Calibri" w:hAnsi="Poppins" w:cs="Poppins"/>
          <w:b/>
          <w:bCs/>
          <w:color w:val="000000" w:themeColor="text1"/>
          <w:sz w:val="24"/>
          <w:szCs w:val="24"/>
        </w:rPr>
        <w:t>, W., &amp; Marín, V. I. (202</w:t>
      </w:r>
      <w:r w:rsidR="00C56162" w:rsidRPr="00D1021A">
        <w:rPr>
          <w:rFonts w:ascii="Poppins" w:eastAsia="Calibri" w:hAnsi="Poppins" w:cs="Poppins"/>
          <w:b/>
          <w:bCs/>
          <w:color w:val="000000" w:themeColor="text1"/>
          <w:sz w:val="24"/>
          <w:szCs w:val="24"/>
        </w:rPr>
        <w:t>2</w:t>
      </w:r>
      <w:r w:rsidRPr="00D1021A">
        <w:rPr>
          <w:rFonts w:ascii="Poppins" w:eastAsia="Calibri" w:hAnsi="Poppins" w:cs="Poppins"/>
          <w:b/>
          <w:bCs/>
          <w:color w:val="000000" w:themeColor="text1"/>
          <w:sz w:val="24"/>
          <w:szCs w:val="24"/>
        </w:rPr>
        <w:t>).</w:t>
      </w:r>
      <w:r w:rsidRPr="00D1021A">
        <w:rPr>
          <w:rFonts w:ascii="Poppins" w:eastAsia="Calibri" w:hAnsi="Poppins" w:cs="Poppins"/>
          <w:color w:val="000000" w:themeColor="text1"/>
          <w:sz w:val="24"/>
          <w:szCs w:val="24"/>
        </w:rPr>
        <w:t xml:space="preserve"> </w:t>
      </w:r>
      <w:r w:rsidRPr="006416ED">
        <w:rPr>
          <w:rFonts w:ascii="Poppins" w:eastAsia="Calibri" w:hAnsi="Poppins" w:cs="Poppins"/>
          <w:color w:val="000000" w:themeColor="text1"/>
          <w:sz w:val="24"/>
          <w:szCs w:val="24"/>
          <w:lang w:val="en-US"/>
        </w:rPr>
        <w:t>Quality Assurance of Open Educational Resources. In Handbook of Open, Distance and Digital Education (pp. 1-19). Singapore: Springer Singapore.</w:t>
      </w:r>
      <w:r w:rsidR="000C2B5C" w:rsidRPr="006416ED">
        <w:rPr>
          <w:rFonts w:ascii="Poppins" w:eastAsia="Calibri" w:hAnsi="Poppins" w:cs="Poppins"/>
          <w:color w:val="000000" w:themeColor="text1"/>
          <w:sz w:val="24"/>
          <w:szCs w:val="24"/>
          <w:lang w:val="en-US"/>
        </w:rPr>
        <w:t xml:space="preserve"> </w:t>
      </w:r>
      <w:r w:rsidR="00734DAE">
        <w:rPr>
          <w:rFonts w:ascii="Poppins" w:eastAsia="Calibri" w:hAnsi="Poppins" w:cs="Poppins"/>
          <w:color w:val="000000" w:themeColor="text1"/>
          <w:sz w:val="24"/>
          <w:szCs w:val="24"/>
        </w:rPr>
        <w:t xml:space="preserve">DOI: </w:t>
      </w:r>
      <w:hyperlink r:id="rId67" w:history="1">
        <w:r w:rsidR="00734DAE" w:rsidRPr="00734DAE">
          <w:rPr>
            <w:rStyle w:val="Hyperlink"/>
            <w:rFonts w:ascii="Poppins" w:hAnsi="Poppins" w:cs="Poppins"/>
            <w:sz w:val="24"/>
            <w:szCs w:val="24"/>
            <w:shd w:val="clear" w:color="auto" w:fill="FFFFFF"/>
          </w:rPr>
          <w:t>https://doi.org/10.1007/978-981-19-0351-9_43-1</w:t>
        </w:r>
      </w:hyperlink>
      <w:r w:rsidR="00734DAE">
        <w:rPr>
          <w:rFonts w:ascii="Merriweather Sans" w:hAnsi="Merriweather Sans"/>
          <w:color w:val="222222"/>
          <w:shd w:val="clear" w:color="auto" w:fill="FFFFFF"/>
        </w:rPr>
        <w:t>.</w:t>
      </w:r>
    </w:p>
    <w:p w14:paraId="3A2DF43B" w14:textId="77777777" w:rsidR="006416ED" w:rsidRDefault="006416ED" w:rsidP="00D1021A">
      <w:pPr>
        <w:rPr>
          <w:rFonts w:ascii="Poppins" w:eastAsia="Calibri" w:hAnsi="Poppins" w:cs="Poppins"/>
          <w:color w:val="000000" w:themeColor="text1"/>
          <w:sz w:val="24"/>
          <w:szCs w:val="24"/>
        </w:rPr>
      </w:pPr>
    </w:p>
    <w:p w14:paraId="50467DCF" w14:textId="77777777" w:rsidR="006416ED" w:rsidRDefault="006416ED" w:rsidP="00D1021A">
      <w:pPr>
        <w:rPr>
          <w:rFonts w:ascii="Poppins" w:eastAsia="Calibri" w:hAnsi="Poppins" w:cs="Poppins"/>
          <w:color w:val="000000" w:themeColor="text1"/>
          <w:sz w:val="24"/>
          <w:szCs w:val="24"/>
        </w:rPr>
      </w:pPr>
    </w:p>
    <w:p w14:paraId="53E16079" w14:textId="77777777" w:rsidR="006416ED" w:rsidRDefault="006416ED" w:rsidP="00D1021A">
      <w:pPr>
        <w:rPr>
          <w:rFonts w:ascii="Poppins" w:eastAsia="Calibri" w:hAnsi="Poppins" w:cs="Poppins"/>
          <w:color w:val="000000" w:themeColor="text1"/>
          <w:sz w:val="24"/>
          <w:szCs w:val="24"/>
        </w:rPr>
      </w:pPr>
    </w:p>
    <w:p w14:paraId="70999AB9" w14:textId="77777777" w:rsidR="006416ED" w:rsidRDefault="006416ED" w:rsidP="00D1021A">
      <w:pPr>
        <w:rPr>
          <w:rFonts w:ascii="Poppins" w:eastAsia="Calibri" w:hAnsi="Poppins" w:cs="Poppins"/>
          <w:color w:val="000000" w:themeColor="text1"/>
          <w:sz w:val="24"/>
          <w:szCs w:val="24"/>
        </w:rPr>
      </w:pPr>
    </w:p>
    <w:p w14:paraId="39B52C60" w14:textId="77777777" w:rsidR="006416ED" w:rsidRDefault="006416ED" w:rsidP="00D1021A">
      <w:pPr>
        <w:rPr>
          <w:rFonts w:ascii="Poppins" w:eastAsia="Calibri" w:hAnsi="Poppins" w:cs="Poppins"/>
          <w:color w:val="000000" w:themeColor="text1"/>
          <w:sz w:val="24"/>
          <w:szCs w:val="24"/>
        </w:rPr>
      </w:pPr>
    </w:p>
    <w:p w14:paraId="6232475A" w14:textId="77777777" w:rsidR="006416ED" w:rsidRDefault="006416ED" w:rsidP="00D1021A">
      <w:pPr>
        <w:rPr>
          <w:rFonts w:ascii="Poppins" w:eastAsia="Calibri" w:hAnsi="Poppins" w:cs="Poppins"/>
          <w:color w:val="000000" w:themeColor="text1"/>
          <w:sz w:val="24"/>
          <w:szCs w:val="24"/>
        </w:rPr>
      </w:pPr>
    </w:p>
    <w:p w14:paraId="0EF38415" w14:textId="77777777" w:rsidR="006416ED" w:rsidRDefault="006416ED" w:rsidP="00D1021A">
      <w:pPr>
        <w:rPr>
          <w:rFonts w:ascii="Poppins" w:eastAsia="Calibri" w:hAnsi="Poppins" w:cs="Poppins"/>
          <w:color w:val="000000" w:themeColor="text1"/>
          <w:sz w:val="24"/>
          <w:szCs w:val="24"/>
        </w:rPr>
      </w:pPr>
    </w:p>
    <w:p w14:paraId="4A286812" w14:textId="77777777" w:rsidR="006416ED" w:rsidRDefault="006416ED" w:rsidP="00D1021A">
      <w:pPr>
        <w:rPr>
          <w:rFonts w:ascii="Poppins" w:eastAsia="Calibri" w:hAnsi="Poppins" w:cs="Poppins"/>
          <w:color w:val="000000" w:themeColor="text1"/>
          <w:sz w:val="24"/>
          <w:szCs w:val="24"/>
        </w:rPr>
      </w:pPr>
    </w:p>
    <w:p w14:paraId="62BAB98D" w14:textId="77777777" w:rsidR="006416ED" w:rsidRDefault="006416ED" w:rsidP="00D1021A">
      <w:pPr>
        <w:rPr>
          <w:rFonts w:ascii="Poppins" w:eastAsia="Calibri" w:hAnsi="Poppins" w:cs="Poppins"/>
          <w:color w:val="000000" w:themeColor="text1"/>
          <w:sz w:val="24"/>
          <w:szCs w:val="24"/>
        </w:rPr>
      </w:pPr>
    </w:p>
    <w:p w14:paraId="3053413B" w14:textId="0B2D44F2" w:rsidR="00D1021A" w:rsidRPr="00D1021A" w:rsidRDefault="00D1021A" w:rsidP="00D1021A">
      <w:pPr>
        <w:rPr>
          <w:rFonts w:ascii="Poppins" w:hAnsi="Poppins" w:cs="Poppins"/>
          <w:b/>
          <w:bCs/>
          <w:sz w:val="28"/>
          <w:szCs w:val="28"/>
        </w:rPr>
      </w:pPr>
      <w:r w:rsidRPr="00D1021A">
        <w:rPr>
          <w:rFonts w:ascii="Poppins" w:hAnsi="Poppins" w:cs="Poppins"/>
          <w:b/>
          <w:bCs/>
          <w:sz w:val="28"/>
          <w:szCs w:val="28"/>
        </w:rPr>
        <w:t>Lizenzhinweise:</w:t>
      </w:r>
    </w:p>
    <w:p w14:paraId="3C58288E" w14:textId="77777777" w:rsidR="00E6314F" w:rsidRPr="00E6314F" w:rsidRDefault="00E6314F" w:rsidP="00E6314F">
      <w:pPr>
        <w:rPr>
          <w:rFonts w:ascii="Poppins" w:hAnsi="Poppins" w:cs="Poppins"/>
          <w:sz w:val="24"/>
          <w:szCs w:val="24"/>
        </w:rPr>
      </w:pPr>
      <w:r w:rsidRPr="00E6314F">
        <w:rPr>
          <w:rFonts w:ascii="Poppins" w:hAnsi="Poppins" w:cs="Poppins"/>
          <w:sz w:val="24"/>
          <w:szCs w:val="24"/>
        </w:rPr>
        <w:t>Theoretische Hintergründe des Qualitätsmanagementsystems der</w:t>
      </w:r>
      <w:r w:rsidRPr="00E6314F">
        <w:rPr>
          <w:rFonts w:ascii="Poppins" w:hAnsi="Poppins" w:cs="Poppins"/>
          <w:sz w:val="24"/>
          <w:szCs w:val="24"/>
        </w:rPr>
        <w:br/>
        <w:t>Hamburg Open Online University (HOOU)</w:t>
      </w:r>
    </w:p>
    <w:p w14:paraId="6C497125" w14:textId="4E0B0FC8" w:rsidR="00D1021A" w:rsidRPr="00D1021A" w:rsidRDefault="001E7009" w:rsidP="00D1021A">
      <w:pPr>
        <w:rPr>
          <w:rFonts w:ascii="Poppins" w:hAnsi="Poppins" w:cs="Poppins"/>
          <w:sz w:val="24"/>
          <w:szCs w:val="24"/>
        </w:rPr>
      </w:pPr>
      <w:r>
        <w:rPr>
          <w:rFonts w:ascii="Poppins" w:hAnsi="Poppins" w:cs="Poppins"/>
          <w:sz w:val="24"/>
          <w:szCs w:val="24"/>
        </w:rPr>
        <w:t>Oktober</w:t>
      </w:r>
      <w:r w:rsidR="00D1021A" w:rsidRPr="00D1021A">
        <w:rPr>
          <w:rFonts w:ascii="Poppins" w:hAnsi="Poppins" w:cs="Poppins"/>
          <w:sz w:val="24"/>
          <w:szCs w:val="24"/>
        </w:rPr>
        <w:t xml:space="preserve"> 2024, Version 0.1</w:t>
      </w:r>
    </w:p>
    <w:p w14:paraId="58868BC1" w14:textId="78934CA5" w:rsidR="00D1021A" w:rsidRPr="00D1021A" w:rsidRDefault="00D1021A" w:rsidP="00D1021A">
      <w:pPr>
        <w:rPr>
          <w:rFonts w:ascii="Poppins" w:hAnsi="Poppins" w:cs="Poppins"/>
          <w:sz w:val="24"/>
          <w:szCs w:val="24"/>
        </w:rPr>
      </w:pPr>
      <w:r w:rsidRPr="00D1021A">
        <w:rPr>
          <w:rFonts w:ascii="Poppins" w:hAnsi="Poppins" w:cs="Poppins"/>
          <w:sz w:val="24"/>
          <w:szCs w:val="24"/>
        </w:rPr>
        <w:t>Lizenz/Autorinnen: CC-BY 4.0 Nina Henrike Anders &amp; Anna-Lena Krüger für die</w:t>
      </w:r>
      <w:r w:rsidR="00E6314F">
        <w:rPr>
          <w:rFonts w:ascii="Poppins" w:hAnsi="Poppins" w:cs="Poppins"/>
          <w:sz w:val="24"/>
          <w:szCs w:val="24"/>
        </w:rPr>
        <w:t xml:space="preserve"> </w:t>
      </w:r>
      <w:r w:rsidR="00E6314F" w:rsidRPr="00D1021A">
        <w:rPr>
          <w:rFonts w:ascii="Poppins" w:hAnsi="Poppins" w:cs="Poppins"/>
          <w:sz w:val="24"/>
          <w:szCs w:val="24"/>
        </w:rPr>
        <w:t>Hamburg Open Online University (HOOU)</w:t>
      </w:r>
    </w:p>
    <w:p w14:paraId="3CAC59EF" w14:textId="3FC428F8" w:rsidR="00D1021A" w:rsidRPr="00D1021A" w:rsidRDefault="00D1021A" w:rsidP="00D1021A">
      <w:pPr>
        <w:rPr>
          <w:rFonts w:ascii="Poppins" w:hAnsi="Poppins" w:cs="Poppins"/>
          <w:sz w:val="24"/>
          <w:szCs w:val="24"/>
        </w:rPr>
      </w:pPr>
      <w:r w:rsidRPr="00D1021A">
        <w:rPr>
          <w:rFonts w:ascii="Poppins" w:hAnsi="Poppins" w:cs="Poppins"/>
          <w:noProof/>
        </w:rPr>
        <w:drawing>
          <wp:inline distT="0" distB="0" distL="0" distR="0" wp14:anchorId="6364943F" wp14:editId="24983325">
            <wp:extent cx="1090295" cy="381603"/>
            <wp:effectExtent l="0" t="0" r="0" b="0"/>
            <wp:docPr id="1026258916" name="Grafik 1026258916" descr="Ein Bild, das Symbol, Screenshot, Billardkug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Ein Bild, das Symbol, Screenshot, Billardkugel enthält.&#10;&#10;Automatisch generierte Beschreibung"/>
                    <pic:cNvPicPr>
                      <a:picLocks noChangeAspect="1"/>
                    </pic:cNvPicPr>
                  </pic:nvPicPr>
                  <pic:blipFill>
                    <a:blip r:embed="rId12"/>
                    <a:stretch/>
                  </pic:blipFill>
                  <pic:spPr bwMode="auto">
                    <a:xfrm>
                      <a:off x="0" y="0"/>
                      <a:ext cx="1119175" cy="391711"/>
                    </a:xfrm>
                    <a:prstGeom prst="rect">
                      <a:avLst/>
                    </a:prstGeom>
                  </pic:spPr>
                </pic:pic>
              </a:graphicData>
            </a:graphic>
          </wp:inline>
        </w:drawing>
      </w:r>
    </w:p>
    <w:p w14:paraId="3B02F21A" w14:textId="77777777" w:rsidR="00D1021A" w:rsidRPr="00D1021A" w:rsidRDefault="00D1021A" w:rsidP="00D1021A">
      <w:pPr>
        <w:rPr>
          <w:rStyle w:val="Hyperlink"/>
          <w:rFonts w:ascii="Poppins" w:hAnsi="Poppins" w:cs="Poppins"/>
          <w:color w:val="000000" w:themeColor="text1"/>
          <w:sz w:val="24"/>
          <w:szCs w:val="24"/>
          <w:u w:val="none"/>
        </w:rPr>
      </w:pPr>
      <w:r w:rsidRPr="00D1021A">
        <w:rPr>
          <w:rFonts w:ascii="Poppins" w:hAnsi="Poppins" w:cs="Poppins"/>
          <w:color w:val="000000" w:themeColor="text1"/>
          <w:sz w:val="24"/>
          <w:szCs w:val="24"/>
        </w:rPr>
        <w:t xml:space="preserve">Dieser Beitrag ist lizenziert unter der Creative-Commons-Lizenz Namensnennung 4.0 (CC BY 4.0). Weitere Informationen: </w:t>
      </w:r>
      <w:hyperlink r:id="rId68" w:history="1">
        <w:r w:rsidRPr="00D1021A">
          <w:rPr>
            <w:rStyle w:val="Hyperlink"/>
            <w:rFonts w:ascii="Poppins" w:hAnsi="Poppins" w:cs="Poppins"/>
            <w:sz w:val="24"/>
            <w:szCs w:val="24"/>
          </w:rPr>
          <w:t>http://creativecommons.org/licenses/by/4.0/</w:t>
        </w:r>
      </w:hyperlink>
      <w:r w:rsidRPr="00D1021A">
        <w:rPr>
          <w:rFonts w:ascii="Poppins" w:hAnsi="Poppins" w:cs="Poppins"/>
          <w:sz w:val="24"/>
          <w:szCs w:val="24"/>
        </w:rPr>
        <w:t xml:space="preserve"> </w:t>
      </w:r>
      <w:hyperlink w:history="1"/>
    </w:p>
    <w:p w14:paraId="5A36E051" w14:textId="77777777" w:rsidR="00D1021A" w:rsidRPr="00552C08" w:rsidRDefault="00D1021A" w:rsidP="009B614E">
      <w:pPr>
        <w:spacing w:before="240" w:line="360" w:lineRule="auto"/>
        <w:rPr>
          <w:rFonts w:ascii="Poppins" w:eastAsia="Calibri" w:hAnsi="Poppins" w:cs="Poppins"/>
          <w:color w:val="000000" w:themeColor="text1"/>
          <w:sz w:val="24"/>
          <w:szCs w:val="24"/>
          <w:lang w:val="en-US"/>
        </w:rPr>
      </w:pPr>
    </w:p>
    <w:sectPr w:rsidR="00D1021A" w:rsidRPr="00552C08" w:rsidSect="008830B0">
      <w:footerReference w:type="default" r:id="rId69"/>
      <w:pgSz w:w="11906" w:h="16838"/>
      <w:pgMar w:top="1701" w:right="1588" w:bottom="1134" w:left="1418" w:header="709" w:footer="709" w:gutter="0"/>
      <w:pgNumType w:start="0"/>
      <w:cols w:space="708"/>
      <w:titlePg/>
      <w:docGrid w:linePitch="360"/>
    </w:sectPr>
  </w:body>
</w:document>
</file>

<file path=word/commentsDocument.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Anders, Nina" w:date="2024-05-15T15:25:00Z" w:initials="NA">
    <w:p w14:paraId="00000001" w14:textId="00000001">
      <w:pPr>
        <w:spacing w:line="240" w:after="0" w:lineRule="auto" w:before="0"/>
        <w:ind w:firstLine="0" w:left="0" w:right="0"/>
        <w:jc w:val="left"/>
      </w:pPr>
      <w:r>
        <w:rPr>
          <w:rFonts w:eastAsia="Arial" w:ascii="Arial" w:hAnsi="Arial" w:cs="Arial"/>
          <w:sz w:val="22"/>
        </w:rPr>
        <w:t xml:space="preserve">Wie gesagt, ich habe auf der Seite des Blinden- und Sehbehindertenvereins gelesen, dass der Doppelpunkt gar nicht so gut zum gendern ist, vielleicht checken wir das nochmal und nehmen dann doch den Stern.</w:t>
      </w:r>
    </w:p>
  </w:comment>
  <w:comment w:id="1" w:author="Anna-Lena Krüger (Gast)" w:date="2024-05-22T11:29:47Z" w:initials="AK(">
    <w:p w14:paraId="00000002" w14:textId="00000002">
      <w:pPr>
        <w:spacing w:line="240" w:after="0" w:lineRule="auto" w:before="0"/>
        <w:ind w:firstLine="0" w:left="0" w:right="0"/>
        <w:jc w:val="left"/>
      </w:pPr>
      <w:r>
        <w:rPr>
          <w:rFonts w:eastAsia="Arial" w:ascii="Arial" w:hAnsi="Arial" w:cs="Arial"/>
          <w:sz w:val="22"/>
        </w:rPr>
        <w:t xml:space="preserve">wortwörtlich steht bei Mishra &amp; Misra das hier: "The BRAC experiment showed that with</w:t>
      </w:r>
    </w:p>
    <w:p w14:paraId="00000003" w14:textId="00000003">
      <w:pPr>
        <w:spacing w:line="240" w:after="0" w:lineRule="auto" w:before="0"/>
        <w:ind w:firstLine="0" w:left="0" w:right="0"/>
        <w:jc w:val="left"/>
      </w:pPr>
      <w:r>
        <w:rPr>
          <w:rFonts w:eastAsia="Arial" w:ascii="Arial" w:hAnsi="Arial" w:cs="Arial"/>
          <w:sz w:val="22"/>
        </w:rPr>
        <w:t xml:space="preserve">a vision, proper planning, and appropriate infrastructural support, ODDE-supported</w:t>
      </w:r>
    </w:p>
    <w:p w14:paraId="00000004" w14:textId="00000004">
      <w:pPr>
        <w:spacing w:line="240" w:after="0" w:lineRule="auto" w:before="0"/>
        <w:ind w:firstLine="0" w:left="0" w:right="0"/>
        <w:jc w:val="left"/>
      </w:pPr>
      <w:r>
        <w:rPr>
          <w:rFonts w:eastAsia="Arial" w:ascii="Arial" w:hAnsi="Arial" w:cs="Arial"/>
          <w:sz w:val="22"/>
        </w:rPr>
        <w:t xml:space="preserve">NFE can be a game-changer." (mit NFE ist nonformal education gemeint. Habe den Beitrag bei der Literatur eingestellt.</w:t>
      </w:r>
    </w:p>
  </w:comment>
  <w:comment w:id="2" w:author="Anders, Nina" w:date="2024-05-08T13:00:00Z" w:initials="AN">
    <w:p w14:paraId="00000005" w14:textId="00000005">
      <w:pPr>
        <w:spacing w:line="240" w:after="0" w:lineRule="auto" w:before="0"/>
        <w:ind w:firstLine="0" w:left="0" w:right="0"/>
        <w:jc w:val="left"/>
      </w:pPr>
      <w:r>
        <w:rPr>
          <w:rFonts w:eastAsia="Arial" w:ascii="Arial" w:hAnsi="Arial" w:cs="Arial"/>
          <w:sz w:val="22"/>
        </w:rPr>
        <w:t xml:space="preserve">Hier könnte man auch die englische Definition hinschreiben</w:t>
      </w:r>
    </w:p>
  </w:comment>
  <w:comment w:id="3" w:author="Anders, Nina" w:date="2024-05-15T15:28:00Z" w:initials="AN">
    <w:p w14:paraId="00000006" w14:textId="00000006">
      <w:pPr>
        <w:spacing w:line="240" w:after="0" w:lineRule="auto" w:before="0"/>
        <w:ind w:firstLine="0" w:left="0" w:right="0"/>
        <w:jc w:val="left"/>
      </w:pPr>
      <w:r>
        <w:rPr>
          <w:rFonts w:eastAsia="Arial" w:ascii="Arial" w:hAnsi="Arial" w:cs="Arial"/>
          <w:sz w:val="22"/>
        </w:rPr>
        <w:t xml:space="preserve">Ich bin mir gerade nicht sicher, ob wir dann noch ein Kapitel „Herausforderungen von OER“ bräuchten. Vielleicht braucht es dann gar nicht die zwei getrennten Kapitel beim Thema QM für OER.</w:t>
      </w:r>
    </w:p>
  </w:comment>
  <w:comment w:id="4" w:author="Anna-Lena Krüger (Gast)" w:date="2024-05-16T07:28:58Z" w:initials="AK(">
    <w:p w14:paraId="00000007" w14:textId="00000007">
      <w:pPr>
        <w:spacing w:line="240" w:after="0" w:lineRule="auto" w:before="0"/>
        <w:ind w:firstLine="0" w:left="0" w:right="0"/>
        <w:jc w:val="left"/>
      </w:pPr>
      <w:r>
        <w:rPr>
          <w:rFonts w:eastAsia="Arial" w:ascii="Arial" w:hAnsi="Arial" w:cs="Arial"/>
          <w:sz w:val="22"/>
        </w:rPr>
        <w:t xml:space="preserve">finde ich gut-. Es gibt sowieso eher Texte die sich allgemein auf die Herausforderungen von OER beziehen und weniger im Kontext von QM</w:t>
      </w:r>
    </w:p>
  </w:comment>
  <w:comment w:id="5" w:author="Anders, Nina" w:date="2024-03-22T15:14:00Z" w:initials="NA">
    <w:p w14:paraId="00000008" w14:textId="00000008">
      <w:pPr>
        <w:spacing w:line="240" w:after="0" w:lineRule="auto" w:before="0"/>
        <w:ind w:firstLine="0" w:left="0" w:right="0"/>
        <w:jc w:val="left"/>
      </w:pPr>
      <w:r>
        <w:rPr>
          <w:rFonts w:eastAsia="Arial" w:ascii="Arial" w:hAnsi="Arial" w:cs="Arial"/>
          <w:sz w:val="22"/>
        </w:rPr>
        <w:t xml:space="preserve">Hier haben leider nur 14 Personen teilgenommen</w:t>
      </w:r>
    </w:p>
  </w:comment>
  <w:comment w:id="6" w:author="Krüger, Anna-Lena" w:date="2024-01-18T08:57:00Z" w:initials="KA">
    <w:p w14:paraId="00000009" w14:textId="00000009">
      <w:pPr>
        <w:spacing w:line="240" w:after="0" w:lineRule="auto" w:before="0"/>
        <w:ind w:firstLine="0" w:left="0" w:right="0"/>
        <w:jc w:val="left"/>
      </w:pPr>
      <w:r>
        <w:rPr>
          <w:rFonts w:eastAsia="Arial" w:ascii="Arial" w:hAnsi="Arial" w:cs="Arial"/>
          <w:sz w:val="22"/>
        </w:rPr>
        <w:t xml:space="preserve">Zur Definition von „Open“ in „Open Educational Resources“ – die 5 R-Freiheiten nach David Wiley auf Deutsch als die 5 V-Freiheiten | OERinfo – Informationsstelle OER (open-educational-resources.de)</w:t>
      </w:r>
    </w:p>
  </w:comment>
  <w:comment w:id="7" w:author="Anders, Nina" w:date="2024-03-22T16:11:00Z" w:initials="NA">
    <w:p w14:paraId="0000000A" w14:textId="0000000A">
      <w:pPr>
        <w:spacing w:line="240" w:after="0" w:lineRule="auto" w:before="0"/>
        <w:ind w:firstLine="0" w:left="0" w:right="0"/>
        <w:jc w:val="left"/>
      </w:pPr>
      <w:r>
        <w:rPr>
          <w:rFonts w:eastAsia="Arial" w:ascii="Arial" w:hAnsi="Arial" w:cs="Arial"/>
          <w:sz w:val="22"/>
        </w:rPr>
        <w:t xml:space="preserve">SDG mit dem Sustainable Development Goal 4</w:t>
      </w:r>
    </w:p>
  </w:comment>
  <w:comment w:id="8" w:author="Anders, Nina" w:date="2024-05-08T12:44:00Z" w:initials="NA">
    <w:p w14:paraId="0000000B" w14:textId="0000000B">
      <w:pPr>
        <w:spacing w:line="240" w:after="0" w:lineRule="auto" w:before="0"/>
        <w:ind w:firstLine="0" w:left="0" w:right="0"/>
        <w:jc w:val="left"/>
      </w:pPr>
      <w:r>
        <w:rPr>
          <w:rFonts w:eastAsia="Arial" w:ascii="Arial" w:hAnsi="Arial" w:cs="Arial"/>
          <w:sz w:val="22"/>
        </w:rPr>
        <w:t xml:space="preserve">Hier könnte man noch schreiben, wohin die HOOU fördert bzw. berät. </w:t>
      </w:r>
    </w:p>
  </w:comment>
  <w:comment w:id="9" w:author="Anna-Lena Krüger (Gast)" w:date="2024-05-16T07:30:34Z" w:initials="AK(">
    <w:p w14:paraId="0000000C" w14:textId="0000000C">
      <w:pPr>
        <w:spacing w:line="240" w:after="0" w:lineRule="auto" w:before="0"/>
        <w:ind w:firstLine="0" w:left="0" w:right="0"/>
        <w:jc w:val="left"/>
      </w:pPr>
      <w:r>
        <w:rPr>
          <w:rFonts w:eastAsia="Arial" w:ascii="Arial" w:hAnsi="Arial" w:cs="Arial"/>
          <w:sz w:val="22"/>
        </w:rPr>
        <w:t xml:space="preserve">ich finde das Kapitel können wir aber trotzdem drinnenlassen oder?</w:t>
      </w:r>
    </w:p>
  </w:comment>
  <w:comment w:id="10" w:author="Anna-Lena Krüger (Gast)" w:date="2024-05-16T08:02:08Z" w:initials="AK(">
    <w:p w14:paraId="0000000D" w14:textId="0000000D">
      <w:pPr>
        <w:spacing w:line="240" w:after="0" w:lineRule="auto" w:before="0"/>
        <w:ind w:firstLine="0" w:left="0" w:right="0"/>
        <w:jc w:val="left"/>
      </w:pPr>
      <w:r>
        <w:rPr>
          <w:rFonts w:eastAsia="Arial" w:ascii="Arial" w:hAnsi="Arial" w:cs="Arial"/>
          <w:sz w:val="22"/>
        </w:rPr>
        <w:t xml:space="preserve">vielleicht reicht das ja schon zu Herausforderungen?</w:t>
      </w:r>
    </w:p>
  </w:comment>
  <w:comment w:id="11" w:author="Anders, Nina" w:date="2024-05-08T12:15:00Z" w:initials="NA">
    <w:p w14:paraId="0000000E" w14:textId="0000000E">
      <w:pPr>
        <w:spacing w:line="240" w:after="0" w:lineRule="auto" w:before="0"/>
        <w:ind w:firstLine="0" w:left="0" w:right="0"/>
        <w:jc w:val="left"/>
      </w:pPr>
      <w:r>
        <w:rPr>
          <w:rFonts w:eastAsia="Arial" w:ascii="Arial" w:hAnsi="Arial" w:cs="Arial"/>
          <w:sz w:val="22"/>
        </w:rPr>
        <w:t xml:space="preserve">Hier könnte man ggf. auch noch die Quelle von Bashshur verwenden, die hatten wir auf der Webseite genannt Ich fände es schön, wenn wir hier noch eine andere Quelle nennen könnten.</w:t>
      </w:r>
    </w:p>
  </w:comment>
  <w:comment w:id="12" w:author="Anna-Lena Krüger (Gast)" w:date="2024-05-15T09:02:00Z" w:initials="AK(">
    <w:p w14:paraId="0000000F" w14:textId="0000000F">
      <w:pPr>
        <w:spacing w:line="240" w:after="0" w:lineRule="auto" w:before="0"/>
        <w:ind w:firstLine="0" w:left="0" w:right="0"/>
        <w:jc w:val="left"/>
      </w:pPr>
      <w:r>
        <w:rPr>
          <w:rFonts w:eastAsia="Arial" w:ascii="Arial" w:hAnsi="Arial" w:cs="Arial"/>
          <w:sz w:val="22"/>
        </w:rPr>
        <w:t xml:space="preserve">Im ENCORE+ Text werden neben Zawacki-Richter auch neuere QM-Modelle vorgestellt (Elias, 2020 (S. 16 f.) ; Poce et al, 2019 (S. 17 f.); Ossiannilsson, 2020 (S. 19)) </w:t>
      </w:r>
    </w:p>
    <w:p w14:paraId="00000010" w14:textId="00000010">
      <w:pPr>
        <w:spacing w:line="240" w:after="0" w:lineRule="auto" w:before="0"/>
        <w:ind w:firstLine="0" w:left="0" w:right="0"/>
        <w:jc w:val="left"/>
      </w:pPr>
      <w:r>
        <w:rPr>
          <w:rFonts w:eastAsia="Arial" w:ascii="Arial" w:hAnsi="Arial" w:cs="Arial"/>
          <w:sz w:val="22"/>
        </w:rPr>
        <w:t xml:space="preserve">Ich habe es zwar so verstanden, dass das Kritierenset von Mayrberger/Zawacki-Richter) immer noch am umfangreichsten ist ("In conclusion, the quality concept by Mayrberger and Zawacki-Richter deals with both, the subject-specific as well as didactic demand of HEI and the dynamics of OER. Nevertheless, further prerequisites must be met in order to assure the quality of OER. All in all, “there is a need for further research on how quality measures can be stored,</w:t>
      </w:r>
    </w:p>
    <w:p w14:paraId="00000011" w14:textId="00000011">
      <w:pPr>
        <w:spacing w:line="240" w:after="0" w:lineRule="auto" w:before="0"/>
        <w:ind w:firstLine="0" w:left="0" w:right="0"/>
        <w:jc w:val="left"/>
      </w:pPr>
      <w:r>
        <w:rPr>
          <w:rFonts w:eastAsia="Arial" w:ascii="Arial" w:hAnsi="Arial" w:cs="Arial"/>
          <w:sz w:val="22"/>
        </w:rPr>
        <w:t xml:space="preserve">shared, and communicated to users” (Lübbe et al., 2023). On the one hand, quality needs to become transparent for OER users and, on the other hand, procedures to assure quality have to be applied systematically." (ENCORE+, 2023a, S. 24), jedoch können wir vllt trotzdem einmal nennen, dass es auch andere/ neuere Konzepte gibt?</w:t>
      </w:r>
    </w:p>
  </w:comment>
  <w:comment w:id="13" w:author="Anna-Lena Krüger (Gast)" w:date="2024-05-22T11:33:02Z" w:initials="AK(">
    <w:p w14:paraId="00000012" w14:textId="00000012">
      <w:pPr>
        <w:spacing w:line="240" w:after="0" w:lineRule="auto" w:before="0"/>
        <w:ind w:firstLine="0" w:left="0" w:right="0"/>
        <w:jc w:val="left"/>
      </w:pPr>
      <w:r>
        <w:rPr>
          <w:rFonts w:eastAsia="Arial" w:ascii="Arial" w:hAnsi="Arial" w:cs="Arial"/>
          <w:sz w:val="22"/>
        </w:rPr>
        <w:t xml:space="preserve">In der OER-Strategie des BMBF steht dazu: "Insbesondere in OEP ist das Erstellen und Einbinden </w:t>
      </w:r>
    </w:p>
    <w:p w14:paraId="00000013" w14:textId="00000013">
      <w:pPr>
        <w:spacing w:line="240" w:after="0" w:lineRule="auto" w:before="0"/>
        <w:ind w:firstLine="0" w:left="0" w:right="0"/>
        <w:jc w:val="left"/>
      </w:pPr>
      <w:r>
        <w:rPr>
          <w:rFonts w:eastAsia="Arial" w:ascii="Arial" w:hAnsi="Arial" w:cs="Arial"/>
          <w:sz w:val="22"/>
        </w:rPr>
        <w:t xml:space="preserve">von freien vertrauenswürdigen und hochwertigen </w:t>
      </w:r>
    </w:p>
    <w:p w14:paraId="00000014" w14:textId="00000014">
      <w:pPr>
        <w:spacing w:line="240" w:after="0" w:lineRule="auto" w:before="0"/>
        <w:ind w:firstLine="0" w:left="0" w:right="0"/>
        <w:jc w:val="left"/>
      </w:pPr>
      <w:r>
        <w:rPr>
          <w:rFonts w:eastAsia="Arial" w:ascii="Arial" w:hAnsi="Arial" w:cs="Arial"/>
          <w:sz w:val="22"/>
        </w:rPr>
        <w:t xml:space="preserve">Lernmaterialien an zusätzliche Voraussetzungen </w:t>
      </w:r>
    </w:p>
    <w:p w14:paraId="00000015" w14:textId="00000015">
      <w:pPr>
        <w:spacing w:line="240" w:after="0" w:lineRule="auto" w:before="0"/>
        <w:ind w:firstLine="0" w:left="0" w:right="0"/>
        <w:jc w:val="left"/>
      </w:pPr>
      <w:r>
        <w:rPr>
          <w:rFonts w:eastAsia="Arial" w:ascii="Arial" w:hAnsi="Arial" w:cs="Arial"/>
          <w:sz w:val="22"/>
        </w:rPr>
        <w:t xml:space="preserve">geknüpft. Wissen über die Risiken gezielter Datenmanipulation und Fähigkeiten zur Beurteilung </w:t>
      </w:r>
    </w:p>
    <w:p w14:paraId="00000016" w14:textId="00000016">
      <w:pPr>
        <w:spacing w:line="240" w:after="0" w:lineRule="auto" w:before="0"/>
        <w:ind w:firstLine="0" w:left="0" w:right="0"/>
        <w:jc w:val="left"/>
      </w:pPr>
      <w:r>
        <w:rPr>
          <w:rFonts w:eastAsia="Arial" w:ascii="Arial" w:hAnsi="Arial" w:cs="Arial"/>
          <w:sz w:val="22"/>
        </w:rPr>
        <w:t xml:space="preserve">von Informations- und Datenquellen sind dabei </w:t>
      </w:r>
    </w:p>
    <w:p w14:paraId="00000017" w14:textId="00000017">
      <w:pPr>
        <w:spacing w:line="240" w:after="0" w:lineRule="auto" w:before="0"/>
        <w:ind w:firstLine="0" w:left="0" w:right="0"/>
        <w:jc w:val="left"/>
      </w:pPr>
      <w:r>
        <w:rPr>
          <w:rFonts w:eastAsia="Arial" w:ascii="Arial" w:hAnsi="Arial" w:cs="Arial"/>
          <w:sz w:val="22"/>
        </w:rPr>
        <w:t xml:space="preserve">entscheidend. Die Produktion digitaler Medien setzt </w:t>
      </w:r>
    </w:p>
    <w:p w14:paraId="00000018" w14:textId="00000018">
      <w:pPr>
        <w:spacing w:line="240" w:after="0" w:lineRule="auto" w:before="0"/>
        <w:ind w:firstLine="0" w:left="0" w:right="0"/>
        <w:jc w:val="left"/>
      </w:pPr>
      <w:r>
        <w:rPr>
          <w:rFonts w:eastAsia="Arial" w:ascii="Arial" w:hAnsi="Arial" w:cs="Arial"/>
          <w:sz w:val="22"/>
        </w:rPr>
        <w:t xml:space="preserve">daher Medienkompetenz voraus und muss gleichzeitig darauf abzielen, die Medienkompetenz der </w:t>
      </w:r>
    </w:p>
    <w:p w14:paraId="00000019" w14:textId="00000019">
      <w:pPr>
        <w:spacing w:line="240" w:after="0" w:lineRule="auto" w:before="0"/>
        <w:ind w:firstLine="0" w:left="0" w:right="0"/>
        <w:jc w:val="left"/>
      </w:pPr>
      <w:r>
        <w:rPr>
          <w:rFonts w:eastAsia="Arial" w:ascii="Arial" w:hAnsi="Arial" w:cs="Arial"/>
          <w:sz w:val="22"/>
        </w:rPr>
        <w:t xml:space="preserve">Beteiligten zu erweitern. " (S. 11) https://www.bmbf.de/SharedDocs/Publikationen/de/bmbf/3/691288_OER-Strategie.pdf?__blob=publicationFile&amp;v=6</w:t>
      </w:r>
    </w:p>
  </w:comment>
</w:comments>
</file>

<file path=word/commentsExtendedDocument.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0000001" w15:done="0"/>
  <w15:commentEx w15:paraId="00000004" w15:done="0"/>
  <w15:commentEx w15:paraId="00000005" w15:done="1"/>
  <w15:commentEx w15:paraId="00000006" w15:done="0"/>
  <w15:commentEx w15:paraId="00000007" w15:paraIdParent="00000006" w15:done="0"/>
  <w15:commentEx w15:paraId="00000008" w15:done="0"/>
  <w15:commentEx w15:paraId="00000009" w15:done="0"/>
  <w15:commentEx w15:paraId="0000000A" w15:done="0"/>
  <w15:commentEx w15:paraId="0000000B" w15:done="0"/>
  <w15:commentEx w15:paraId="0000000C" w15:done="0"/>
  <w15:commentEx w15:paraId="0000000D" w15:done="0"/>
  <w15:commentEx w15:paraId="0000000E" w15:done="0"/>
  <w15:commentEx w15:paraId="00000011" w15:done="0"/>
  <w15:commentEx w15:paraId="00000019" w15:done="0"/>
</w15:commentsEx>
</file>

<file path=word/commentsExtensibleDocument.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E338C2" w16cex:dateUtc="2024-05-15T13:25:00Z"/>
  <w16cex:commentExtensible w16cex:durableId="4192CC12" w16cex:dateUtc="2024-05-22T09:29:47Z"/>
  <w16cex:commentExtensible w16cex:durableId="5A266014" w16cex:dateUtc="2024-05-08T11:00:00Z"/>
  <w16cex:commentExtensible w16cex:durableId="7BF216DD" w16cex:dateUtc="2024-05-15T13:28:00Z"/>
  <w16cex:commentExtensible w16cex:durableId="2CE0A3F4" w16cex:dateUtc="2024-05-16T05:28:58Z"/>
  <w16cex:commentExtensible w16cex:durableId="74FF0DB7" w16cex:dateUtc="2024-03-22T14:14:00Z"/>
  <w16cex:commentExtensible w16cex:durableId="34C6A9A0" w16cex:dateUtc="2024-01-18T07:57:00Z"/>
  <w16cex:commentExtensible w16cex:durableId="610AA0BB" w16cex:dateUtc="2024-03-22T15:11:00Z"/>
  <w16cex:commentExtensible w16cex:durableId="65010A5E" w16cex:dateUtc="2024-05-08T10:44:00Z"/>
  <w16cex:commentExtensible w16cex:durableId="0B4E0D13" w16cex:dateUtc="2024-05-16T05:30:34Z"/>
  <w16cex:commentExtensible w16cex:durableId="2F1D8100" w16cex:dateUtc="2024-05-16T06:02:08Z"/>
  <w16cex:commentExtensible w16cex:durableId="441798BB" w16cex:dateUtc="2024-05-08T10:15:00Z"/>
  <w16cex:commentExtensible w16cex:durableId="4865F930" w16cex:dateUtc="2024-05-15T07:02:00Z"/>
  <w16cex:commentExtensible w16cex:durableId="23AABCC3" w16cex:dateUtc="2024-05-22T09:33:02Z"/>
</w16cex:commentsExtensible>
</file>

<file path=word/commentsIdsDocument.xml><?xml version="1.0" encoding="utf-8"?>
<w16cid:commentsIds xmlns:mc="http://schemas.openxmlformats.org/markup-compatibility/2006" xmlns:w16cid="http://schemas.microsoft.com/office/word/2016/wordml/cid" mc:Ignorable="w16cid">
  <w16cid:commentId w16cid:paraId="00000001" w16cid:durableId="23E338C2"/>
  <w16cid:commentId w16cid:paraId="00000004" w16cid:durableId="4192CC12"/>
  <w16cid:commentId w16cid:paraId="00000005" w16cid:durableId="5A266014"/>
  <w16cid:commentId w16cid:paraId="00000006" w16cid:durableId="7BF216DD"/>
  <w16cid:commentId w16cid:paraId="00000007" w16cid:durableId="2CE0A3F4"/>
  <w16cid:commentId w16cid:paraId="00000008" w16cid:durableId="74FF0DB7"/>
  <w16cid:commentId w16cid:paraId="00000009" w16cid:durableId="34C6A9A0"/>
  <w16cid:commentId w16cid:paraId="0000000A" w16cid:durableId="610AA0BB"/>
  <w16cid:commentId w16cid:paraId="0000000B" w16cid:durableId="65010A5E"/>
  <w16cid:commentId w16cid:paraId="0000000C" w16cid:durableId="0B4E0D13"/>
  <w16cid:commentId w16cid:paraId="0000000D" w16cid:durableId="2F1D8100"/>
  <w16cid:commentId w16cid:paraId="0000000E" w16cid:durableId="441798BB"/>
  <w16cid:commentId w16cid:paraId="00000011" w16cid:durableId="4865F930"/>
  <w16cid:commentId w16cid:paraId="00000019" w16cid:durableId="23AABCC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6E2FA76" w14:textId="77777777" w:rsidR="00855491" w:rsidRPr="00D1021A" w:rsidRDefault="00855491">
      <w:pPr>
        <w:spacing w:after="0" w:line="240" w:lineRule="auto"/>
      </w:pPr>
      <w:r w:rsidRPr="00D1021A">
        <w:separator/>
      </w:r>
    </w:p>
  </w:endnote>
  <w:endnote w:type="continuationSeparator" w:id="0">
    <w:p w14:paraId="1C015CE8" w14:textId="77777777" w:rsidR="00855491" w:rsidRPr="00D1021A" w:rsidRDefault="00855491">
      <w:pPr>
        <w:spacing w:after="0" w:line="240" w:lineRule="auto"/>
      </w:pPr>
      <w:r w:rsidRPr="00D1021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Poppins">
    <w:charset w:val="00"/>
    <w:family w:val="auto"/>
    <w:pitch w:val="variable"/>
    <w:sig w:usb0="00008007" w:usb1="00000000" w:usb2="00000000" w:usb3="00000000" w:csb0="00000093" w:csb1="00000000"/>
  </w:font>
  <w:font w:name="Calibri">
    <w:panose1 w:val="020F0502020204030204"/>
    <w:charset w:val="00"/>
    <w:family w:val="swiss"/>
    <w:pitch w:val="variable"/>
    <w:sig w:usb0="E4002EFF" w:usb1="C200247B" w:usb2="00000009" w:usb3="00000000" w:csb0="000001FF" w:csb1="00000000"/>
  </w:font>
  <w:font w:name="Merriweather Sans">
    <w:charset w:val="00"/>
    <w:family w:val="auto"/>
    <w:pitch w:val="variable"/>
    <w:sig w:usb0="A00004FF" w:usb1="4000207B" w:usb2="00000000" w:usb3="00000000" w:csb0="00000193" w:csb1="00000000"/>
  </w:font>
  <w:font w:name="Source Sans Pro">
    <w:charset w:val="00"/>
    <w:family w:val="swiss"/>
    <w:pitch w:val="variable"/>
    <w:sig w:usb0="600002F7" w:usb1="02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1161782"/>
      <w:docPartObj>
        <w:docPartGallery w:val="Page Numbers (Bottom of Page)"/>
        <w:docPartUnique/>
      </w:docPartObj>
    </w:sdtPr>
    <w:sdtEndPr>
      <w:rPr>
        <w:rFonts w:ascii="Poppins" w:hAnsi="Poppins" w:cs="Poppins"/>
      </w:rPr>
    </w:sdtEndPr>
    <w:sdtContent>
      <w:p w14:paraId="7E04E5EC" w14:textId="77777777" w:rsidR="0040385C" w:rsidRPr="00D1021A" w:rsidRDefault="00046E90">
        <w:pPr>
          <w:pStyle w:val="Fuzeile"/>
          <w:jc w:val="right"/>
          <w:rPr>
            <w:rFonts w:ascii="Poppins" w:hAnsi="Poppins" w:cs="Poppins"/>
          </w:rPr>
        </w:pPr>
        <w:r w:rsidRPr="00D1021A">
          <w:rPr>
            <w:rFonts w:ascii="Poppins" w:hAnsi="Poppins" w:cs="Poppins"/>
          </w:rPr>
          <w:fldChar w:fldCharType="begin"/>
        </w:r>
        <w:r w:rsidRPr="00D1021A">
          <w:rPr>
            <w:rFonts w:ascii="Poppins" w:hAnsi="Poppins" w:cs="Poppins"/>
          </w:rPr>
          <w:instrText>PAGE   \* MERGEFORMAT</w:instrText>
        </w:r>
        <w:r w:rsidRPr="00D1021A">
          <w:rPr>
            <w:rFonts w:ascii="Poppins" w:hAnsi="Poppins" w:cs="Poppins"/>
          </w:rPr>
          <w:fldChar w:fldCharType="separate"/>
        </w:r>
        <w:r w:rsidRPr="00D1021A">
          <w:rPr>
            <w:rFonts w:ascii="Poppins" w:hAnsi="Poppins" w:cs="Poppins"/>
          </w:rPr>
          <w:t>2</w:t>
        </w:r>
        <w:r w:rsidRPr="00D1021A">
          <w:rPr>
            <w:rFonts w:ascii="Poppins" w:hAnsi="Poppins" w:cs="Poppins"/>
          </w:rPr>
          <w:fldChar w:fldCharType="end"/>
        </w:r>
      </w:p>
    </w:sdtContent>
  </w:sdt>
  <w:p w14:paraId="1CF59C93" w14:textId="77777777" w:rsidR="0040385C" w:rsidRPr="00D1021A" w:rsidRDefault="0040385C">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5EA7F6C" w14:textId="77777777" w:rsidR="00855491" w:rsidRPr="00D1021A" w:rsidRDefault="00855491">
      <w:pPr>
        <w:spacing w:after="0" w:line="240" w:lineRule="auto"/>
      </w:pPr>
      <w:r w:rsidRPr="00D1021A">
        <w:separator/>
      </w:r>
    </w:p>
  </w:footnote>
  <w:footnote w:type="continuationSeparator" w:id="0">
    <w:p w14:paraId="57BEDE80" w14:textId="77777777" w:rsidR="00855491" w:rsidRPr="00D1021A" w:rsidRDefault="00855491">
      <w:pPr>
        <w:spacing w:after="0" w:line="240" w:lineRule="auto"/>
      </w:pPr>
      <w:r w:rsidRPr="00D1021A">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7E5DBD"/>
    <w:multiLevelType w:val="hybridMultilevel"/>
    <w:tmpl w:val="D08AC25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5F12380"/>
    <w:multiLevelType w:val="hybridMultilevel"/>
    <w:tmpl w:val="274C1254"/>
    <w:lvl w:ilvl="0" w:tplc="FFFFFFFF">
      <w:start w:val="1"/>
      <w:numFmt w:val="decimal"/>
      <w:lvlText w:val="%1."/>
      <w:lvlJc w:val="left"/>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15:restartNumberingAfterBreak="0">
    <w:nsid w:val="073C3C2F"/>
    <w:multiLevelType w:val="hybridMultilevel"/>
    <w:tmpl w:val="33084772"/>
    <w:lvl w:ilvl="0" w:tplc="435437F6">
      <w:start w:val="1"/>
      <w:numFmt w:val="bullet"/>
      <w:lvlText w:val="·"/>
      <w:lvlJc w:val="left"/>
      <w:pPr>
        <w:ind w:left="1800" w:hanging="360"/>
      </w:pPr>
      <w:rPr>
        <w:rFonts w:ascii="Symbol" w:hAnsi="Symbol" w:hint="default"/>
      </w:rPr>
    </w:lvl>
    <w:lvl w:ilvl="1" w:tplc="329AC538">
      <w:start w:val="1"/>
      <w:numFmt w:val="bullet"/>
      <w:lvlText w:val="o"/>
      <w:lvlJc w:val="left"/>
      <w:pPr>
        <w:ind w:left="2520" w:hanging="360"/>
      </w:pPr>
      <w:rPr>
        <w:rFonts w:ascii="Courier New" w:hAnsi="Courier New" w:hint="default"/>
      </w:rPr>
    </w:lvl>
    <w:lvl w:ilvl="2" w:tplc="9968D79E">
      <w:start w:val="1"/>
      <w:numFmt w:val="bullet"/>
      <w:lvlText w:val=""/>
      <w:lvlJc w:val="left"/>
      <w:pPr>
        <w:ind w:left="3240" w:hanging="360"/>
      </w:pPr>
      <w:rPr>
        <w:rFonts w:ascii="Wingdings" w:hAnsi="Wingdings" w:hint="default"/>
      </w:rPr>
    </w:lvl>
    <w:lvl w:ilvl="3" w:tplc="7F9635F4">
      <w:start w:val="1"/>
      <w:numFmt w:val="bullet"/>
      <w:lvlText w:val=""/>
      <w:lvlJc w:val="left"/>
      <w:pPr>
        <w:ind w:left="3960" w:hanging="360"/>
      </w:pPr>
      <w:rPr>
        <w:rFonts w:ascii="Symbol" w:hAnsi="Symbol" w:hint="default"/>
      </w:rPr>
    </w:lvl>
    <w:lvl w:ilvl="4" w:tplc="39F4D7F8">
      <w:start w:val="1"/>
      <w:numFmt w:val="bullet"/>
      <w:lvlText w:val="o"/>
      <w:lvlJc w:val="left"/>
      <w:pPr>
        <w:ind w:left="4680" w:hanging="360"/>
      </w:pPr>
      <w:rPr>
        <w:rFonts w:ascii="Courier New" w:hAnsi="Courier New" w:hint="default"/>
      </w:rPr>
    </w:lvl>
    <w:lvl w:ilvl="5" w:tplc="D6946964">
      <w:start w:val="1"/>
      <w:numFmt w:val="bullet"/>
      <w:lvlText w:val=""/>
      <w:lvlJc w:val="left"/>
      <w:pPr>
        <w:ind w:left="5400" w:hanging="360"/>
      </w:pPr>
      <w:rPr>
        <w:rFonts w:ascii="Wingdings" w:hAnsi="Wingdings" w:hint="default"/>
      </w:rPr>
    </w:lvl>
    <w:lvl w:ilvl="6" w:tplc="C3B8FB3A">
      <w:start w:val="1"/>
      <w:numFmt w:val="bullet"/>
      <w:lvlText w:val=""/>
      <w:lvlJc w:val="left"/>
      <w:pPr>
        <w:ind w:left="6120" w:hanging="360"/>
      </w:pPr>
      <w:rPr>
        <w:rFonts w:ascii="Symbol" w:hAnsi="Symbol" w:hint="default"/>
      </w:rPr>
    </w:lvl>
    <w:lvl w:ilvl="7" w:tplc="8C2E47AA">
      <w:start w:val="1"/>
      <w:numFmt w:val="bullet"/>
      <w:lvlText w:val="o"/>
      <w:lvlJc w:val="left"/>
      <w:pPr>
        <w:ind w:left="6840" w:hanging="360"/>
      </w:pPr>
      <w:rPr>
        <w:rFonts w:ascii="Courier New" w:hAnsi="Courier New" w:hint="default"/>
      </w:rPr>
    </w:lvl>
    <w:lvl w:ilvl="8" w:tplc="9866FA1C">
      <w:start w:val="1"/>
      <w:numFmt w:val="bullet"/>
      <w:lvlText w:val=""/>
      <w:lvlJc w:val="left"/>
      <w:pPr>
        <w:ind w:left="7560" w:hanging="360"/>
      </w:pPr>
      <w:rPr>
        <w:rFonts w:ascii="Wingdings" w:hAnsi="Wingdings" w:hint="default"/>
      </w:rPr>
    </w:lvl>
  </w:abstractNum>
  <w:abstractNum w:abstractNumId="3" w15:restartNumberingAfterBreak="0">
    <w:nsid w:val="07601DA5"/>
    <w:multiLevelType w:val="hybridMultilevel"/>
    <w:tmpl w:val="0E6CC418"/>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 w15:restartNumberingAfterBreak="0">
    <w:nsid w:val="0E58077A"/>
    <w:multiLevelType w:val="hybridMultilevel"/>
    <w:tmpl w:val="274C1254"/>
    <w:lvl w:ilvl="0" w:tplc="95682194">
      <w:start w:val="1"/>
      <w:numFmt w:val="decimal"/>
      <w:lvlText w:val="%1."/>
      <w:lvlJc w:val="left"/>
    </w:lvl>
    <w:lvl w:ilvl="1" w:tplc="858A7E12">
      <w:start w:val="1"/>
      <w:numFmt w:val="lowerLetter"/>
      <w:lvlText w:val="%2."/>
      <w:lvlJc w:val="left"/>
      <w:pPr>
        <w:ind w:left="1440" w:hanging="360"/>
      </w:pPr>
    </w:lvl>
    <w:lvl w:ilvl="2" w:tplc="EA44E106">
      <w:start w:val="1"/>
      <w:numFmt w:val="lowerRoman"/>
      <w:lvlText w:val="%3."/>
      <w:lvlJc w:val="right"/>
      <w:pPr>
        <w:ind w:left="2160" w:hanging="180"/>
      </w:pPr>
    </w:lvl>
    <w:lvl w:ilvl="3" w:tplc="4B5ED2A6">
      <w:start w:val="1"/>
      <w:numFmt w:val="decimal"/>
      <w:lvlText w:val="%4."/>
      <w:lvlJc w:val="left"/>
      <w:pPr>
        <w:ind w:left="2880" w:hanging="360"/>
      </w:pPr>
    </w:lvl>
    <w:lvl w:ilvl="4" w:tplc="C3EE047E">
      <w:start w:val="1"/>
      <w:numFmt w:val="lowerLetter"/>
      <w:lvlText w:val="%5."/>
      <w:lvlJc w:val="left"/>
      <w:pPr>
        <w:ind w:left="3600" w:hanging="360"/>
      </w:pPr>
    </w:lvl>
    <w:lvl w:ilvl="5" w:tplc="B64ABA36">
      <w:start w:val="1"/>
      <w:numFmt w:val="lowerRoman"/>
      <w:lvlText w:val="%6."/>
      <w:lvlJc w:val="right"/>
      <w:pPr>
        <w:ind w:left="4320" w:hanging="180"/>
      </w:pPr>
    </w:lvl>
    <w:lvl w:ilvl="6" w:tplc="41AE40E0">
      <w:start w:val="1"/>
      <w:numFmt w:val="decimal"/>
      <w:lvlText w:val="%7."/>
      <w:lvlJc w:val="left"/>
      <w:pPr>
        <w:ind w:left="5040" w:hanging="360"/>
      </w:pPr>
    </w:lvl>
    <w:lvl w:ilvl="7" w:tplc="333AA8EE">
      <w:start w:val="1"/>
      <w:numFmt w:val="lowerLetter"/>
      <w:lvlText w:val="%8."/>
      <w:lvlJc w:val="left"/>
      <w:pPr>
        <w:ind w:left="5760" w:hanging="360"/>
      </w:pPr>
    </w:lvl>
    <w:lvl w:ilvl="8" w:tplc="1F963024">
      <w:start w:val="1"/>
      <w:numFmt w:val="lowerRoman"/>
      <w:lvlText w:val="%9."/>
      <w:lvlJc w:val="right"/>
      <w:pPr>
        <w:ind w:left="6480" w:hanging="180"/>
      </w:pPr>
    </w:lvl>
  </w:abstractNum>
  <w:abstractNum w:abstractNumId="5" w15:restartNumberingAfterBreak="0">
    <w:nsid w:val="0FF6082A"/>
    <w:multiLevelType w:val="hybridMultilevel"/>
    <w:tmpl w:val="A4CCC9E8"/>
    <w:lvl w:ilvl="0" w:tplc="04070015">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6" w15:restartNumberingAfterBreak="0">
    <w:nsid w:val="1E3C1F6D"/>
    <w:multiLevelType w:val="hybridMultilevel"/>
    <w:tmpl w:val="0E6CC418"/>
    <w:lvl w:ilvl="0" w:tplc="F606F686">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7" w15:restartNumberingAfterBreak="0">
    <w:nsid w:val="2DBD683F"/>
    <w:multiLevelType w:val="hybridMultilevel"/>
    <w:tmpl w:val="0E6CC418"/>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 w15:restartNumberingAfterBreak="0">
    <w:nsid w:val="4D0B55FB"/>
    <w:multiLevelType w:val="multilevel"/>
    <w:tmpl w:val="6A6AEF1E"/>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9" w15:restartNumberingAfterBreak="0">
    <w:nsid w:val="5515599F"/>
    <w:multiLevelType w:val="hybridMultilevel"/>
    <w:tmpl w:val="CA9681E0"/>
    <w:lvl w:ilvl="0" w:tplc="AEEE709E">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0" w15:restartNumberingAfterBreak="0">
    <w:nsid w:val="57BD36AD"/>
    <w:multiLevelType w:val="hybridMultilevel"/>
    <w:tmpl w:val="9DFE98FE"/>
    <w:lvl w:ilvl="0" w:tplc="0407000F">
      <w:start w:val="1"/>
      <w:numFmt w:val="decimal"/>
      <w:lvlText w:val="%1."/>
      <w:lvlJc w:val="left"/>
      <w:pPr>
        <w:ind w:left="360" w:hanging="360"/>
      </w:pPr>
      <w:rPr>
        <w:rFonts w:hint="default"/>
      </w:rPr>
    </w:lvl>
    <w:lvl w:ilvl="1" w:tplc="FFFFFFFF">
      <w:start w:val="1"/>
      <w:numFmt w:val="bullet"/>
      <w:lvlText w:val="o"/>
      <w:lvlJc w:val="left"/>
      <w:pPr>
        <w:ind w:left="1080" w:hanging="360"/>
      </w:pPr>
      <w:rPr>
        <w:rFonts w:ascii="Courier New" w:hAnsi="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hint="default"/>
      </w:rPr>
    </w:lvl>
    <w:lvl w:ilvl="8" w:tplc="FFFFFFFF">
      <w:start w:val="1"/>
      <w:numFmt w:val="bullet"/>
      <w:lvlText w:val=""/>
      <w:lvlJc w:val="left"/>
      <w:pPr>
        <w:ind w:left="6120" w:hanging="360"/>
      </w:pPr>
      <w:rPr>
        <w:rFonts w:ascii="Wingdings" w:hAnsi="Wingdings" w:hint="default"/>
      </w:rPr>
    </w:lvl>
  </w:abstractNum>
  <w:abstractNum w:abstractNumId="11" w15:restartNumberingAfterBreak="0">
    <w:nsid w:val="61A96CFF"/>
    <w:multiLevelType w:val="hybridMultilevel"/>
    <w:tmpl w:val="AE684C8A"/>
    <w:lvl w:ilvl="0" w:tplc="D700A9D4">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6A2C726E"/>
    <w:multiLevelType w:val="hybridMultilevel"/>
    <w:tmpl w:val="4F90997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79A7427B"/>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2043633632">
    <w:abstractNumId w:val="2"/>
  </w:num>
  <w:num w:numId="2" w16cid:durableId="1453786029">
    <w:abstractNumId w:val="8"/>
  </w:num>
  <w:num w:numId="3" w16cid:durableId="665211403">
    <w:abstractNumId w:val="4"/>
  </w:num>
  <w:num w:numId="4" w16cid:durableId="369570321">
    <w:abstractNumId w:val="10"/>
  </w:num>
  <w:num w:numId="5" w16cid:durableId="1348212430">
    <w:abstractNumId w:val="0"/>
  </w:num>
  <w:num w:numId="6" w16cid:durableId="866259570">
    <w:abstractNumId w:val="13"/>
  </w:num>
  <w:num w:numId="7" w16cid:durableId="1778209275">
    <w:abstractNumId w:val="12"/>
  </w:num>
  <w:num w:numId="8" w16cid:durableId="1483736820">
    <w:abstractNumId w:val="11"/>
  </w:num>
  <w:num w:numId="9" w16cid:durableId="1465804902">
    <w:abstractNumId w:val="8"/>
    <w:lvlOverride w:ilvl="0">
      <w:startOverride w:val="1"/>
    </w:lvlOverride>
  </w:num>
  <w:num w:numId="10" w16cid:durableId="980114229">
    <w:abstractNumId w:val="5"/>
  </w:num>
  <w:num w:numId="11" w16cid:durableId="86121589">
    <w:abstractNumId w:val="1"/>
  </w:num>
  <w:num w:numId="12" w16cid:durableId="614555161">
    <w:abstractNumId w:val="9"/>
  </w:num>
  <w:num w:numId="13" w16cid:durableId="1791052825">
    <w:abstractNumId w:val="6"/>
  </w:num>
  <w:num w:numId="14" w16cid:durableId="779035353">
    <w:abstractNumId w:val="7"/>
  </w:num>
  <w:num w:numId="15" w16cid:durableId="1030254694">
    <w:abstractNumId w:val="3"/>
  </w:num>
  <w:numIdMacAtCleanup w:val="7"/>
</w:numbering>
</file>

<file path=word/peopleDocument.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nders, Nina">
    <w15:presenceInfo w15:providerId="AD" w15:userId="S::wjq411@haw-hamburg.de::c53aae65-e0ce-4885-92a1-607028e03011"/>
  </w15:person>
  <w15:person w15:author="Krüger, Anna-Lena">
    <w15:presenceInfo w15:providerId="AD" w15:userId="S::wak158@haw-hamburg.de::a7d4a995-35da-4c5d-a332-282966bc09c7"/>
  </w15:person>
  <w15:person w15:author="Anna-Lena Krüger (Gast)">
    <w15:presenceInfo w15:providerId="Teamlab" w15:userId="uid-171341866961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3"/>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385C"/>
    <w:rsid w:val="00002E71"/>
    <w:rsid w:val="000054BE"/>
    <w:rsid w:val="0001730A"/>
    <w:rsid w:val="00035A3B"/>
    <w:rsid w:val="00035A9D"/>
    <w:rsid w:val="00035B81"/>
    <w:rsid w:val="00037723"/>
    <w:rsid w:val="000438C0"/>
    <w:rsid w:val="00046E90"/>
    <w:rsid w:val="000518E0"/>
    <w:rsid w:val="00057296"/>
    <w:rsid w:val="00066B4A"/>
    <w:rsid w:val="00067637"/>
    <w:rsid w:val="0007251D"/>
    <w:rsid w:val="00077A24"/>
    <w:rsid w:val="00085919"/>
    <w:rsid w:val="000865CA"/>
    <w:rsid w:val="000934D7"/>
    <w:rsid w:val="00093765"/>
    <w:rsid w:val="00095D0D"/>
    <w:rsid w:val="000A0437"/>
    <w:rsid w:val="000A20D0"/>
    <w:rsid w:val="000A3FFD"/>
    <w:rsid w:val="000A4ECE"/>
    <w:rsid w:val="000A72C2"/>
    <w:rsid w:val="000B1273"/>
    <w:rsid w:val="000B2B01"/>
    <w:rsid w:val="000B7C05"/>
    <w:rsid w:val="000C2B5C"/>
    <w:rsid w:val="000C568D"/>
    <w:rsid w:val="000D3183"/>
    <w:rsid w:val="000E2048"/>
    <w:rsid w:val="000E2857"/>
    <w:rsid w:val="000F68DD"/>
    <w:rsid w:val="00116E76"/>
    <w:rsid w:val="00124612"/>
    <w:rsid w:val="001321A1"/>
    <w:rsid w:val="00136108"/>
    <w:rsid w:val="00140776"/>
    <w:rsid w:val="0014451B"/>
    <w:rsid w:val="00147044"/>
    <w:rsid w:val="00150CFC"/>
    <w:rsid w:val="00157DD5"/>
    <w:rsid w:val="001644AC"/>
    <w:rsid w:val="001648CB"/>
    <w:rsid w:val="001706F9"/>
    <w:rsid w:val="00172FA7"/>
    <w:rsid w:val="00173CAF"/>
    <w:rsid w:val="00183D2C"/>
    <w:rsid w:val="00187EA6"/>
    <w:rsid w:val="001A0190"/>
    <w:rsid w:val="001A169E"/>
    <w:rsid w:val="001A3510"/>
    <w:rsid w:val="001B0AB3"/>
    <w:rsid w:val="001B29E0"/>
    <w:rsid w:val="001B718A"/>
    <w:rsid w:val="001D41FB"/>
    <w:rsid w:val="001E45D7"/>
    <w:rsid w:val="001E7009"/>
    <w:rsid w:val="001E7447"/>
    <w:rsid w:val="002004EB"/>
    <w:rsid w:val="00212B73"/>
    <w:rsid w:val="00214BE1"/>
    <w:rsid w:val="0022549C"/>
    <w:rsid w:val="002259A9"/>
    <w:rsid w:val="002331FB"/>
    <w:rsid w:val="00234245"/>
    <w:rsid w:val="00244128"/>
    <w:rsid w:val="00245256"/>
    <w:rsid w:val="002502DC"/>
    <w:rsid w:val="00254BB9"/>
    <w:rsid w:val="0025772F"/>
    <w:rsid w:val="00260A75"/>
    <w:rsid w:val="0026494B"/>
    <w:rsid w:val="00265BA1"/>
    <w:rsid w:val="00267DE4"/>
    <w:rsid w:val="00272E43"/>
    <w:rsid w:val="002738F9"/>
    <w:rsid w:val="002754D9"/>
    <w:rsid w:val="00282F1A"/>
    <w:rsid w:val="00283F48"/>
    <w:rsid w:val="00285188"/>
    <w:rsid w:val="00290F99"/>
    <w:rsid w:val="00293B2C"/>
    <w:rsid w:val="002943D2"/>
    <w:rsid w:val="002B7B2F"/>
    <w:rsid w:val="002C1569"/>
    <w:rsid w:val="002C240E"/>
    <w:rsid w:val="002C4325"/>
    <w:rsid w:val="002C60E0"/>
    <w:rsid w:val="002D2374"/>
    <w:rsid w:val="002D573B"/>
    <w:rsid w:val="002D74B0"/>
    <w:rsid w:val="002E202A"/>
    <w:rsid w:val="002E4C5C"/>
    <w:rsid w:val="002E4E69"/>
    <w:rsid w:val="002F25DC"/>
    <w:rsid w:val="002F51E3"/>
    <w:rsid w:val="00303D31"/>
    <w:rsid w:val="00307C04"/>
    <w:rsid w:val="00312360"/>
    <w:rsid w:val="003142AD"/>
    <w:rsid w:val="00316610"/>
    <w:rsid w:val="003227A9"/>
    <w:rsid w:val="00337FFB"/>
    <w:rsid w:val="00351389"/>
    <w:rsid w:val="003576B7"/>
    <w:rsid w:val="00357BB7"/>
    <w:rsid w:val="003628A2"/>
    <w:rsid w:val="0036682D"/>
    <w:rsid w:val="00391BC2"/>
    <w:rsid w:val="003A08D5"/>
    <w:rsid w:val="003A4B96"/>
    <w:rsid w:val="003A5008"/>
    <w:rsid w:val="003B5A31"/>
    <w:rsid w:val="003B628A"/>
    <w:rsid w:val="003B65D6"/>
    <w:rsid w:val="003B6C6D"/>
    <w:rsid w:val="003B7892"/>
    <w:rsid w:val="003C70D6"/>
    <w:rsid w:val="003D5A3B"/>
    <w:rsid w:val="003E00B3"/>
    <w:rsid w:val="003E31EC"/>
    <w:rsid w:val="00401B1A"/>
    <w:rsid w:val="0040385C"/>
    <w:rsid w:val="00406478"/>
    <w:rsid w:val="00431BC6"/>
    <w:rsid w:val="00434827"/>
    <w:rsid w:val="00441D9D"/>
    <w:rsid w:val="00443749"/>
    <w:rsid w:val="004453BA"/>
    <w:rsid w:val="00447DCE"/>
    <w:rsid w:val="0045203E"/>
    <w:rsid w:val="004525BE"/>
    <w:rsid w:val="00457D91"/>
    <w:rsid w:val="00472983"/>
    <w:rsid w:val="00473671"/>
    <w:rsid w:val="0047438D"/>
    <w:rsid w:val="00474BCC"/>
    <w:rsid w:val="0048080F"/>
    <w:rsid w:val="00491FB5"/>
    <w:rsid w:val="00495299"/>
    <w:rsid w:val="00495F84"/>
    <w:rsid w:val="004C0906"/>
    <w:rsid w:val="004D2467"/>
    <w:rsid w:val="004D2759"/>
    <w:rsid w:val="004D3C32"/>
    <w:rsid w:val="004D719D"/>
    <w:rsid w:val="004E2CB4"/>
    <w:rsid w:val="004E5AA6"/>
    <w:rsid w:val="004E7E13"/>
    <w:rsid w:val="004F0FA3"/>
    <w:rsid w:val="004F17F1"/>
    <w:rsid w:val="00500573"/>
    <w:rsid w:val="005041EE"/>
    <w:rsid w:val="005122CC"/>
    <w:rsid w:val="00530D62"/>
    <w:rsid w:val="00550E7B"/>
    <w:rsid w:val="00552C08"/>
    <w:rsid w:val="005559B7"/>
    <w:rsid w:val="00557444"/>
    <w:rsid w:val="00565961"/>
    <w:rsid w:val="00565B17"/>
    <w:rsid w:val="0056645C"/>
    <w:rsid w:val="005715C1"/>
    <w:rsid w:val="00573AC4"/>
    <w:rsid w:val="00574F16"/>
    <w:rsid w:val="00580289"/>
    <w:rsid w:val="0058080D"/>
    <w:rsid w:val="00582705"/>
    <w:rsid w:val="00586E93"/>
    <w:rsid w:val="005B1C93"/>
    <w:rsid w:val="005B1FB2"/>
    <w:rsid w:val="005B4BA0"/>
    <w:rsid w:val="005C3CEE"/>
    <w:rsid w:val="005C4D8D"/>
    <w:rsid w:val="005D1EB4"/>
    <w:rsid w:val="005D2DED"/>
    <w:rsid w:val="005D3089"/>
    <w:rsid w:val="005E2A45"/>
    <w:rsid w:val="005E3565"/>
    <w:rsid w:val="005F1308"/>
    <w:rsid w:val="005F5ADA"/>
    <w:rsid w:val="00604C34"/>
    <w:rsid w:val="00610978"/>
    <w:rsid w:val="00611DDE"/>
    <w:rsid w:val="00614B50"/>
    <w:rsid w:val="006227BA"/>
    <w:rsid w:val="0062508B"/>
    <w:rsid w:val="00627BAC"/>
    <w:rsid w:val="0063008B"/>
    <w:rsid w:val="006416ED"/>
    <w:rsid w:val="006506F7"/>
    <w:rsid w:val="006530C1"/>
    <w:rsid w:val="00665309"/>
    <w:rsid w:val="006657D5"/>
    <w:rsid w:val="0067273A"/>
    <w:rsid w:val="00675FAE"/>
    <w:rsid w:val="0068013D"/>
    <w:rsid w:val="006807CB"/>
    <w:rsid w:val="006A3ADB"/>
    <w:rsid w:val="006B014B"/>
    <w:rsid w:val="006B25EE"/>
    <w:rsid w:val="006B366A"/>
    <w:rsid w:val="006C2303"/>
    <w:rsid w:val="006C2EA6"/>
    <w:rsid w:val="006D4E24"/>
    <w:rsid w:val="006D5970"/>
    <w:rsid w:val="006E0554"/>
    <w:rsid w:val="006E26AA"/>
    <w:rsid w:val="006F0B1A"/>
    <w:rsid w:val="006F626B"/>
    <w:rsid w:val="00713367"/>
    <w:rsid w:val="00717155"/>
    <w:rsid w:val="00717935"/>
    <w:rsid w:val="0072203B"/>
    <w:rsid w:val="00732DCF"/>
    <w:rsid w:val="007345CE"/>
    <w:rsid w:val="00734DAE"/>
    <w:rsid w:val="00742261"/>
    <w:rsid w:val="007458A3"/>
    <w:rsid w:val="007505AC"/>
    <w:rsid w:val="00762D03"/>
    <w:rsid w:val="00765D3B"/>
    <w:rsid w:val="00772CA9"/>
    <w:rsid w:val="00775657"/>
    <w:rsid w:val="0078233D"/>
    <w:rsid w:val="00790313"/>
    <w:rsid w:val="00792568"/>
    <w:rsid w:val="00792A9D"/>
    <w:rsid w:val="00792E7A"/>
    <w:rsid w:val="007930F7"/>
    <w:rsid w:val="00797719"/>
    <w:rsid w:val="007A0E24"/>
    <w:rsid w:val="007A7FF6"/>
    <w:rsid w:val="007B35CB"/>
    <w:rsid w:val="007B57CC"/>
    <w:rsid w:val="007C615D"/>
    <w:rsid w:val="007D2669"/>
    <w:rsid w:val="007D3618"/>
    <w:rsid w:val="007D3FB5"/>
    <w:rsid w:val="007D6025"/>
    <w:rsid w:val="007E4FC9"/>
    <w:rsid w:val="007E58BF"/>
    <w:rsid w:val="007E5933"/>
    <w:rsid w:val="007F43BA"/>
    <w:rsid w:val="00807516"/>
    <w:rsid w:val="0081459F"/>
    <w:rsid w:val="00820BC0"/>
    <w:rsid w:val="00823774"/>
    <w:rsid w:val="00826A98"/>
    <w:rsid w:val="00835417"/>
    <w:rsid w:val="008375E7"/>
    <w:rsid w:val="00837B31"/>
    <w:rsid w:val="00841667"/>
    <w:rsid w:val="00854183"/>
    <w:rsid w:val="00855491"/>
    <w:rsid w:val="008573F8"/>
    <w:rsid w:val="00862822"/>
    <w:rsid w:val="00862FEA"/>
    <w:rsid w:val="00872BDF"/>
    <w:rsid w:val="008775DD"/>
    <w:rsid w:val="00880A09"/>
    <w:rsid w:val="008830B0"/>
    <w:rsid w:val="00890873"/>
    <w:rsid w:val="008915A9"/>
    <w:rsid w:val="008A5A0C"/>
    <w:rsid w:val="008A65E6"/>
    <w:rsid w:val="008B1F0B"/>
    <w:rsid w:val="008B2BD5"/>
    <w:rsid w:val="008B71AB"/>
    <w:rsid w:val="008B7822"/>
    <w:rsid w:val="008C19D2"/>
    <w:rsid w:val="008C2042"/>
    <w:rsid w:val="008C2523"/>
    <w:rsid w:val="008C4120"/>
    <w:rsid w:val="008C48B4"/>
    <w:rsid w:val="008C68AA"/>
    <w:rsid w:val="008D1F89"/>
    <w:rsid w:val="008D6CB8"/>
    <w:rsid w:val="008E03EC"/>
    <w:rsid w:val="008E29CD"/>
    <w:rsid w:val="008E46E1"/>
    <w:rsid w:val="008E7054"/>
    <w:rsid w:val="008E73FC"/>
    <w:rsid w:val="008F2408"/>
    <w:rsid w:val="008F429D"/>
    <w:rsid w:val="00902492"/>
    <w:rsid w:val="00904D1E"/>
    <w:rsid w:val="00906707"/>
    <w:rsid w:val="009123EE"/>
    <w:rsid w:val="00912BF4"/>
    <w:rsid w:val="009165D3"/>
    <w:rsid w:val="0091685F"/>
    <w:rsid w:val="009176D6"/>
    <w:rsid w:val="00923E88"/>
    <w:rsid w:val="00926469"/>
    <w:rsid w:val="00936A6E"/>
    <w:rsid w:val="00972E4E"/>
    <w:rsid w:val="00972F2A"/>
    <w:rsid w:val="009A7DA1"/>
    <w:rsid w:val="009B1412"/>
    <w:rsid w:val="009B1687"/>
    <w:rsid w:val="009B614E"/>
    <w:rsid w:val="009B7001"/>
    <w:rsid w:val="009B71DF"/>
    <w:rsid w:val="009C6963"/>
    <w:rsid w:val="009D2227"/>
    <w:rsid w:val="009E2624"/>
    <w:rsid w:val="009E3E25"/>
    <w:rsid w:val="009E723D"/>
    <w:rsid w:val="009F043C"/>
    <w:rsid w:val="009F4163"/>
    <w:rsid w:val="00A00341"/>
    <w:rsid w:val="00A030D1"/>
    <w:rsid w:val="00A1131B"/>
    <w:rsid w:val="00A14F78"/>
    <w:rsid w:val="00A162C0"/>
    <w:rsid w:val="00A424B2"/>
    <w:rsid w:val="00A430C2"/>
    <w:rsid w:val="00A5101C"/>
    <w:rsid w:val="00A513BD"/>
    <w:rsid w:val="00A534C9"/>
    <w:rsid w:val="00A60F63"/>
    <w:rsid w:val="00A7226F"/>
    <w:rsid w:val="00A84A9A"/>
    <w:rsid w:val="00A923B1"/>
    <w:rsid w:val="00A9603B"/>
    <w:rsid w:val="00A96443"/>
    <w:rsid w:val="00A96F0F"/>
    <w:rsid w:val="00AA1243"/>
    <w:rsid w:val="00AB5A75"/>
    <w:rsid w:val="00AB6E43"/>
    <w:rsid w:val="00AC3B96"/>
    <w:rsid w:val="00AC5175"/>
    <w:rsid w:val="00AC5D7D"/>
    <w:rsid w:val="00AD4973"/>
    <w:rsid w:val="00AE0983"/>
    <w:rsid w:val="00AF3639"/>
    <w:rsid w:val="00AF5758"/>
    <w:rsid w:val="00AF6006"/>
    <w:rsid w:val="00B00770"/>
    <w:rsid w:val="00B007EA"/>
    <w:rsid w:val="00B10DD2"/>
    <w:rsid w:val="00B15200"/>
    <w:rsid w:val="00B15FF1"/>
    <w:rsid w:val="00B26CFD"/>
    <w:rsid w:val="00B2797F"/>
    <w:rsid w:val="00B33684"/>
    <w:rsid w:val="00B36FFE"/>
    <w:rsid w:val="00B37497"/>
    <w:rsid w:val="00B3774C"/>
    <w:rsid w:val="00B42B4C"/>
    <w:rsid w:val="00B56C7C"/>
    <w:rsid w:val="00B6283D"/>
    <w:rsid w:val="00B6446A"/>
    <w:rsid w:val="00B779A5"/>
    <w:rsid w:val="00B81684"/>
    <w:rsid w:val="00B848AA"/>
    <w:rsid w:val="00B86E1F"/>
    <w:rsid w:val="00B92C34"/>
    <w:rsid w:val="00B944A2"/>
    <w:rsid w:val="00B96EB5"/>
    <w:rsid w:val="00BA111B"/>
    <w:rsid w:val="00BA33B7"/>
    <w:rsid w:val="00BA74DC"/>
    <w:rsid w:val="00BB0640"/>
    <w:rsid w:val="00BB34FB"/>
    <w:rsid w:val="00BC1328"/>
    <w:rsid w:val="00BC1B60"/>
    <w:rsid w:val="00BC7450"/>
    <w:rsid w:val="00BC74F0"/>
    <w:rsid w:val="00C04634"/>
    <w:rsid w:val="00C07F6D"/>
    <w:rsid w:val="00C16CCA"/>
    <w:rsid w:val="00C17585"/>
    <w:rsid w:val="00C21EBF"/>
    <w:rsid w:val="00C25C98"/>
    <w:rsid w:val="00C266B3"/>
    <w:rsid w:val="00C4009D"/>
    <w:rsid w:val="00C442F2"/>
    <w:rsid w:val="00C47C7B"/>
    <w:rsid w:val="00C5558F"/>
    <w:rsid w:val="00C56162"/>
    <w:rsid w:val="00C62754"/>
    <w:rsid w:val="00C675C9"/>
    <w:rsid w:val="00C741AD"/>
    <w:rsid w:val="00C7718C"/>
    <w:rsid w:val="00C84A37"/>
    <w:rsid w:val="00C951CD"/>
    <w:rsid w:val="00C95D30"/>
    <w:rsid w:val="00C96425"/>
    <w:rsid w:val="00CA1FA7"/>
    <w:rsid w:val="00CA6396"/>
    <w:rsid w:val="00CB1026"/>
    <w:rsid w:val="00CB2C7B"/>
    <w:rsid w:val="00CC11A5"/>
    <w:rsid w:val="00CC13AA"/>
    <w:rsid w:val="00CD1D5E"/>
    <w:rsid w:val="00CD30EB"/>
    <w:rsid w:val="00CD418A"/>
    <w:rsid w:val="00CD6042"/>
    <w:rsid w:val="00CE0496"/>
    <w:rsid w:val="00CE5357"/>
    <w:rsid w:val="00CE581D"/>
    <w:rsid w:val="00CE6EE0"/>
    <w:rsid w:val="00CF4596"/>
    <w:rsid w:val="00CF6ACB"/>
    <w:rsid w:val="00D00AAB"/>
    <w:rsid w:val="00D02DC9"/>
    <w:rsid w:val="00D05EDE"/>
    <w:rsid w:val="00D067B7"/>
    <w:rsid w:val="00D07821"/>
    <w:rsid w:val="00D1021A"/>
    <w:rsid w:val="00D16A6C"/>
    <w:rsid w:val="00D26CFB"/>
    <w:rsid w:val="00D308F2"/>
    <w:rsid w:val="00D46469"/>
    <w:rsid w:val="00D506CC"/>
    <w:rsid w:val="00D54ED2"/>
    <w:rsid w:val="00D55196"/>
    <w:rsid w:val="00D55950"/>
    <w:rsid w:val="00D70D46"/>
    <w:rsid w:val="00D8476D"/>
    <w:rsid w:val="00D86697"/>
    <w:rsid w:val="00D87693"/>
    <w:rsid w:val="00D91EB3"/>
    <w:rsid w:val="00D948F5"/>
    <w:rsid w:val="00D955D1"/>
    <w:rsid w:val="00D95EA0"/>
    <w:rsid w:val="00DA1F8B"/>
    <w:rsid w:val="00DA4ED5"/>
    <w:rsid w:val="00DA6568"/>
    <w:rsid w:val="00DA6B64"/>
    <w:rsid w:val="00DB41F9"/>
    <w:rsid w:val="00DB74BC"/>
    <w:rsid w:val="00DC4453"/>
    <w:rsid w:val="00DC4BAE"/>
    <w:rsid w:val="00DC796F"/>
    <w:rsid w:val="00DD0E08"/>
    <w:rsid w:val="00DD1B10"/>
    <w:rsid w:val="00DD3B56"/>
    <w:rsid w:val="00DD46C8"/>
    <w:rsid w:val="00DE6DA3"/>
    <w:rsid w:val="00DF0FDD"/>
    <w:rsid w:val="00DF6C0F"/>
    <w:rsid w:val="00E10342"/>
    <w:rsid w:val="00E10671"/>
    <w:rsid w:val="00E1118B"/>
    <w:rsid w:val="00E15806"/>
    <w:rsid w:val="00E22D95"/>
    <w:rsid w:val="00E23C57"/>
    <w:rsid w:val="00E26A5C"/>
    <w:rsid w:val="00E300DF"/>
    <w:rsid w:val="00E334BB"/>
    <w:rsid w:val="00E4128D"/>
    <w:rsid w:val="00E55947"/>
    <w:rsid w:val="00E62198"/>
    <w:rsid w:val="00E6314F"/>
    <w:rsid w:val="00E63794"/>
    <w:rsid w:val="00E75C71"/>
    <w:rsid w:val="00E812A9"/>
    <w:rsid w:val="00E8172F"/>
    <w:rsid w:val="00E81BCC"/>
    <w:rsid w:val="00E82E48"/>
    <w:rsid w:val="00E92DFB"/>
    <w:rsid w:val="00E971E4"/>
    <w:rsid w:val="00E97D9C"/>
    <w:rsid w:val="00EB12B6"/>
    <w:rsid w:val="00EB557D"/>
    <w:rsid w:val="00EB58BF"/>
    <w:rsid w:val="00EB70AC"/>
    <w:rsid w:val="00EC6D24"/>
    <w:rsid w:val="00EC728F"/>
    <w:rsid w:val="00ED15C1"/>
    <w:rsid w:val="00ED433D"/>
    <w:rsid w:val="00ED5A0F"/>
    <w:rsid w:val="00EE0A8D"/>
    <w:rsid w:val="00EE0B07"/>
    <w:rsid w:val="00EE0BEC"/>
    <w:rsid w:val="00EE69D2"/>
    <w:rsid w:val="00EF16E3"/>
    <w:rsid w:val="00EF32B5"/>
    <w:rsid w:val="00EF700E"/>
    <w:rsid w:val="00F010FC"/>
    <w:rsid w:val="00F01F6E"/>
    <w:rsid w:val="00F0413E"/>
    <w:rsid w:val="00F04E16"/>
    <w:rsid w:val="00F07D3C"/>
    <w:rsid w:val="00F20C85"/>
    <w:rsid w:val="00F22206"/>
    <w:rsid w:val="00F22342"/>
    <w:rsid w:val="00F2624D"/>
    <w:rsid w:val="00F27C8A"/>
    <w:rsid w:val="00F32DCB"/>
    <w:rsid w:val="00F3327E"/>
    <w:rsid w:val="00F410A4"/>
    <w:rsid w:val="00F4227D"/>
    <w:rsid w:val="00F50817"/>
    <w:rsid w:val="00F555AF"/>
    <w:rsid w:val="00F7067B"/>
    <w:rsid w:val="00F71602"/>
    <w:rsid w:val="00F7351E"/>
    <w:rsid w:val="00F74F42"/>
    <w:rsid w:val="00F80990"/>
    <w:rsid w:val="00F80B40"/>
    <w:rsid w:val="00F84174"/>
    <w:rsid w:val="00F90FC3"/>
    <w:rsid w:val="00F95410"/>
    <w:rsid w:val="00F9589F"/>
    <w:rsid w:val="00FB28BC"/>
    <w:rsid w:val="00FB5298"/>
    <w:rsid w:val="00FB5548"/>
    <w:rsid w:val="00FB6A82"/>
    <w:rsid w:val="00FC55FF"/>
    <w:rsid w:val="00FD2A7E"/>
    <w:rsid w:val="00FD2AF0"/>
    <w:rsid w:val="00FE0690"/>
    <w:rsid w:val="00FE0E91"/>
    <w:rsid w:val="00FE4696"/>
    <w:rsid w:val="00FF0F5A"/>
    <w:rsid w:val="00FF6D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9A732C"/>
  <w15:docId w15:val="{47B9BFE3-5EF5-47C3-8FB0-EF9398F6E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pPr>
      <w:keepNext/>
      <w:keepLines/>
      <w:numPr>
        <w:numId w:val="2"/>
      </w:numPr>
      <w:spacing w:before="360" w:after="360"/>
      <w:ind w:left="431" w:hanging="431"/>
      <w:outlineLvl w:val="0"/>
    </w:pPr>
    <w:rPr>
      <w:rFonts w:eastAsiaTheme="majorEastAsia" w:cstheme="majorBidi"/>
      <w:b/>
      <w:sz w:val="28"/>
      <w:szCs w:val="40"/>
    </w:rPr>
  </w:style>
  <w:style w:type="paragraph" w:styleId="berschrift2">
    <w:name w:val="heading 2"/>
    <w:basedOn w:val="Standard"/>
    <w:next w:val="Standard"/>
    <w:link w:val="berschrift2Zchn"/>
    <w:uiPriority w:val="9"/>
    <w:unhideWhenUsed/>
    <w:qFormat/>
    <w:pPr>
      <w:keepNext/>
      <w:keepLines/>
      <w:numPr>
        <w:ilvl w:val="1"/>
        <w:numId w:val="2"/>
      </w:numPr>
      <w:spacing w:before="120" w:after="360"/>
      <w:ind w:left="578" w:hanging="578"/>
      <w:outlineLvl w:val="1"/>
    </w:pPr>
    <w:rPr>
      <w:rFonts w:eastAsiaTheme="majorEastAsia" w:cstheme="majorBidi"/>
      <w:b/>
      <w:sz w:val="28"/>
      <w:szCs w:val="32"/>
    </w:rPr>
  </w:style>
  <w:style w:type="paragraph" w:styleId="berschrift3">
    <w:name w:val="heading 3"/>
    <w:basedOn w:val="Standard"/>
    <w:next w:val="Standard"/>
    <w:link w:val="berschrift3Zchn"/>
    <w:uiPriority w:val="9"/>
    <w:unhideWhenUsed/>
    <w:qFormat/>
    <w:pPr>
      <w:keepNext/>
      <w:keepLines/>
      <w:numPr>
        <w:ilvl w:val="2"/>
        <w:numId w:val="2"/>
      </w:numPr>
      <w:spacing w:before="160" w:after="240"/>
      <w:outlineLvl w:val="2"/>
    </w:pPr>
    <w:rPr>
      <w:rFonts w:eastAsiaTheme="majorEastAsia" w:cstheme="majorBidi"/>
      <w:b/>
      <w:sz w:val="24"/>
      <w:szCs w:val="28"/>
    </w:rPr>
  </w:style>
  <w:style w:type="paragraph" w:styleId="berschrift4">
    <w:name w:val="heading 4"/>
    <w:basedOn w:val="Standard"/>
    <w:next w:val="Standard"/>
    <w:link w:val="berschrift4Zchn"/>
    <w:uiPriority w:val="9"/>
    <w:semiHidden/>
    <w:unhideWhenUsed/>
    <w:qFormat/>
    <w:pPr>
      <w:keepNext/>
      <w:keepLines/>
      <w:numPr>
        <w:ilvl w:val="3"/>
        <w:numId w:val="2"/>
      </w:numPr>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pPr>
      <w:keepNext/>
      <w:keepLines/>
      <w:numPr>
        <w:ilvl w:val="4"/>
        <w:numId w:val="2"/>
      </w:numPr>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pPr>
      <w:keepNext/>
      <w:keepLines/>
      <w:numPr>
        <w:ilvl w:val="5"/>
        <w:numId w:val="2"/>
      </w:numPr>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pPr>
      <w:keepNext/>
      <w:keepLines/>
      <w:numPr>
        <w:ilvl w:val="6"/>
        <w:numId w:val="2"/>
      </w:numPr>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pPr>
      <w:keepNext/>
      <w:keepLines/>
      <w:numPr>
        <w:ilvl w:val="7"/>
        <w:numId w:val="2"/>
      </w:numPr>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pPr>
      <w:keepNext/>
      <w:keepLines/>
      <w:numPr>
        <w:ilvl w:val="8"/>
        <w:numId w:val="2"/>
      </w:numPr>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Heading1Char">
    <w:name w:val="Heading 1 Char"/>
    <w:basedOn w:val="Absatz-Standardschriftart"/>
    <w:uiPriority w:val="9"/>
    <w:rPr>
      <w:rFonts w:ascii="Arial" w:eastAsia="Arial" w:hAnsi="Arial" w:cs="Arial"/>
      <w:sz w:val="40"/>
      <w:szCs w:val="40"/>
    </w:rPr>
  </w:style>
  <w:style w:type="character" w:customStyle="1" w:styleId="Heading2Char">
    <w:name w:val="Heading 2 Char"/>
    <w:basedOn w:val="Absatz-Standardschriftart"/>
    <w:uiPriority w:val="9"/>
    <w:rPr>
      <w:rFonts w:ascii="Arial" w:eastAsia="Arial" w:hAnsi="Arial" w:cs="Arial"/>
      <w:sz w:val="34"/>
    </w:rPr>
  </w:style>
  <w:style w:type="character" w:customStyle="1" w:styleId="Heading3Char">
    <w:name w:val="Heading 3 Char"/>
    <w:basedOn w:val="Absatz-Standardschriftart"/>
    <w:uiPriority w:val="9"/>
    <w:rPr>
      <w:rFonts w:ascii="Arial" w:eastAsia="Arial" w:hAnsi="Arial" w:cs="Arial"/>
      <w:sz w:val="30"/>
      <w:szCs w:val="30"/>
    </w:rPr>
  </w:style>
  <w:style w:type="character" w:customStyle="1" w:styleId="Heading4Char">
    <w:name w:val="Heading 4 Char"/>
    <w:basedOn w:val="Absatz-Standardschriftart"/>
    <w:uiPriority w:val="9"/>
    <w:rPr>
      <w:rFonts w:ascii="Arial" w:eastAsia="Arial" w:hAnsi="Arial" w:cs="Arial"/>
      <w:b/>
      <w:bCs/>
      <w:sz w:val="26"/>
      <w:szCs w:val="26"/>
    </w:rPr>
  </w:style>
  <w:style w:type="character" w:customStyle="1" w:styleId="Heading5Char">
    <w:name w:val="Heading 5 Char"/>
    <w:basedOn w:val="Absatz-Standardschriftart"/>
    <w:uiPriority w:val="9"/>
    <w:rPr>
      <w:rFonts w:ascii="Arial" w:eastAsia="Arial" w:hAnsi="Arial" w:cs="Arial"/>
      <w:b/>
      <w:bCs/>
      <w:sz w:val="24"/>
      <w:szCs w:val="24"/>
    </w:rPr>
  </w:style>
  <w:style w:type="character" w:customStyle="1" w:styleId="Heading6Char">
    <w:name w:val="Heading 6 Char"/>
    <w:basedOn w:val="Absatz-Standardschriftart"/>
    <w:uiPriority w:val="9"/>
    <w:rPr>
      <w:rFonts w:ascii="Arial" w:eastAsia="Arial" w:hAnsi="Arial" w:cs="Arial"/>
      <w:b/>
      <w:bCs/>
      <w:sz w:val="22"/>
      <w:szCs w:val="22"/>
    </w:rPr>
  </w:style>
  <w:style w:type="character" w:customStyle="1" w:styleId="Heading7Char">
    <w:name w:val="Heading 7 Char"/>
    <w:basedOn w:val="Absatz-Standardschriftart"/>
    <w:uiPriority w:val="9"/>
    <w:rPr>
      <w:rFonts w:ascii="Arial" w:eastAsia="Arial" w:hAnsi="Arial" w:cs="Arial"/>
      <w:b/>
      <w:bCs/>
      <w:i/>
      <w:iCs/>
      <w:sz w:val="22"/>
      <w:szCs w:val="22"/>
    </w:rPr>
  </w:style>
  <w:style w:type="character" w:customStyle="1" w:styleId="Heading8Char">
    <w:name w:val="Heading 8 Char"/>
    <w:basedOn w:val="Absatz-Standardschriftart"/>
    <w:uiPriority w:val="9"/>
    <w:rPr>
      <w:rFonts w:ascii="Arial" w:eastAsia="Arial" w:hAnsi="Arial" w:cs="Arial"/>
      <w:i/>
      <w:iCs/>
      <w:sz w:val="22"/>
      <w:szCs w:val="22"/>
    </w:rPr>
  </w:style>
  <w:style w:type="character" w:customStyle="1" w:styleId="Heading9Char">
    <w:name w:val="Heading 9 Char"/>
    <w:basedOn w:val="Absatz-Standardschriftart"/>
    <w:uiPriority w:val="9"/>
    <w:rPr>
      <w:rFonts w:ascii="Arial" w:eastAsia="Arial" w:hAnsi="Arial" w:cs="Arial"/>
      <w:i/>
      <w:iCs/>
      <w:sz w:val="21"/>
      <w:szCs w:val="21"/>
    </w:rPr>
  </w:style>
  <w:style w:type="paragraph" w:styleId="KeinLeerraum">
    <w:name w:val="No Spacing"/>
    <w:uiPriority w:val="1"/>
    <w:qFormat/>
    <w:pPr>
      <w:spacing w:after="0" w:line="240" w:lineRule="auto"/>
    </w:pPr>
  </w:style>
  <w:style w:type="character" w:customStyle="1" w:styleId="TitleChar">
    <w:name w:val="Title Char"/>
    <w:basedOn w:val="Absatz-Standardschriftart"/>
    <w:uiPriority w:val="10"/>
    <w:rPr>
      <w:sz w:val="48"/>
      <w:szCs w:val="48"/>
    </w:rPr>
  </w:style>
  <w:style w:type="character" w:customStyle="1" w:styleId="SubtitleChar">
    <w:name w:val="Subtitle Char"/>
    <w:basedOn w:val="Absatz-Standardschriftart"/>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HeaderChar">
    <w:name w:val="Header Char"/>
    <w:basedOn w:val="Absatz-Standardschriftart"/>
    <w:uiPriority w:val="99"/>
  </w:style>
  <w:style w:type="character" w:customStyle="1" w:styleId="FooterChar">
    <w:name w:val="Footer Char"/>
    <w:basedOn w:val="Absatz-Standardschriftart"/>
    <w:uiPriority w:val="99"/>
  </w:style>
  <w:style w:type="paragraph" w:styleId="Beschriftung">
    <w:name w:val="caption"/>
    <w:basedOn w:val="Standard"/>
    <w:next w:val="Standard"/>
    <w:uiPriority w:val="35"/>
    <w:semiHidden/>
    <w:unhideWhenUsed/>
    <w:qFormat/>
    <w:pPr>
      <w:spacing w:line="276" w:lineRule="auto"/>
    </w:pPr>
    <w:rPr>
      <w:b/>
      <w:bCs/>
      <w:color w:val="156082" w:themeColor="accent1"/>
      <w:sz w:val="18"/>
      <w:szCs w:val="18"/>
    </w:rPr>
  </w:style>
  <w:style w:type="character" w:customStyle="1" w:styleId="CaptionChar">
    <w:name w:val="Caption Char"/>
    <w:uiPriority w:val="99"/>
  </w:style>
  <w:style w:type="table" w:styleId="Tabellenraster">
    <w:name w:val="Table Grid"/>
    <w:basedOn w:val="NormaleTabelle"/>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NormaleTabelle"/>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EinfacheTabelle1">
    <w:name w:val="Plain Table 1"/>
    <w:basedOn w:val="NormaleTabelle"/>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EinfacheTabelle2">
    <w:name w:val="Plain Table 2"/>
    <w:basedOn w:val="NormaleTabelle"/>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EinfacheTabelle3">
    <w:name w:val="Plain Table 3"/>
    <w:basedOn w:val="NormaleTabelle"/>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4">
    <w:name w:val="Plain Table 4"/>
    <w:basedOn w:val="NormaleTabelle"/>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5">
    <w:name w:val="Plain Table 5"/>
    <w:basedOn w:val="NormaleTabelle"/>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itternetztabelle1hell">
    <w:name w:val="Grid Table 1 Light"/>
    <w:basedOn w:val="NormaleTabelle"/>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NormaleTabelle"/>
    <w:uiPriority w:val="99"/>
    <w:pPr>
      <w:spacing w:after="0" w:line="240" w:lineRule="auto"/>
    </w:pPr>
    <w:tblPr>
      <w:tblStyleRowBandSize w:val="1"/>
      <w:tblStyleColBandSize w:val="1"/>
      <w:tblBorders>
        <w:top w:val="single" w:sz="4" w:space="0" w:color="81C9EA" w:themeColor="accent1" w:themeTint="67"/>
        <w:left w:val="single" w:sz="4" w:space="0" w:color="81C9EA" w:themeColor="accent1" w:themeTint="67"/>
        <w:bottom w:val="single" w:sz="4" w:space="0" w:color="81C9EA" w:themeColor="accent1" w:themeTint="67"/>
        <w:right w:val="single" w:sz="4" w:space="0" w:color="81C9EA" w:themeColor="accent1" w:themeTint="67"/>
        <w:insideH w:val="single" w:sz="4" w:space="0" w:color="81C9EA" w:themeColor="accent1" w:themeTint="67"/>
        <w:insideV w:val="single" w:sz="4" w:space="0" w:color="81C9EA" w:themeColor="accent1" w:themeTint="67"/>
      </w:tblBorders>
    </w:tblPr>
    <w:tblStylePr w:type="firstRow">
      <w:rPr>
        <w:b/>
        <w:color w:val="404040"/>
      </w:rPr>
      <w:tblPr/>
      <w:tcPr>
        <w:tcBorders>
          <w:bottom w:val="single" w:sz="12" w:space="0" w:color="4AB2E1"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81C9EA" w:themeColor="accent1" w:themeTint="67"/>
          <w:left w:val="single" w:sz="4" w:space="0" w:color="81C9EA" w:themeColor="accent1" w:themeTint="67"/>
          <w:bottom w:val="single" w:sz="4" w:space="0" w:color="81C9EA" w:themeColor="accent1" w:themeTint="67"/>
          <w:right w:val="single" w:sz="4" w:space="0" w:color="81C9EA" w:themeColor="accent1" w:themeTint="67"/>
        </w:tcBorders>
      </w:tcPr>
    </w:tblStylePr>
  </w:style>
  <w:style w:type="table" w:customStyle="1" w:styleId="GridTable1Light-Accent2">
    <w:name w:val="Grid Table 1 Light - Accent 2"/>
    <w:basedOn w:val="NormaleTabelle"/>
    <w:uiPriority w:val="99"/>
    <w:pPr>
      <w:spacing w:after="0" w:line="240" w:lineRule="auto"/>
    </w:pPr>
    <w:tblPr>
      <w:tblStyleRowBandSize w:val="1"/>
      <w:tblStyleColBandSize w:val="1"/>
      <w:tblBorders>
        <w:top w:val="single" w:sz="4" w:space="0" w:color="F6C5AB" w:themeColor="accent2" w:themeTint="67"/>
        <w:left w:val="single" w:sz="4" w:space="0" w:color="F6C5AB" w:themeColor="accent2" w:themeTint="67"/>
        <w:bottom w:val="single" w:sz="4" w:space="0" w:color="F6C5AB" w:themeColor="accent2" w:themeTint="67"/>
        <w:right w:val="single" w:sz="4" w:space="0" w:color="F6C5AB" w:themeColor="accent2" w:themeTint="67"/>
        <w:insideH w:val="single" w:sz="4" w:space="0" w:color="F6C5AB" w:themeColor="accent2" w:themeTint="67"/>
        <w:insideV w:val="single" w:sz="4" w:space="0" w:color="F6C5AB" w:themeColor="accent2" w:themeTint="67"/>
      </w:tblBorders>
    </w:tblPr>
    <w:tblStylePr w:type="firstRow">
      <w:rPr>
        <w:b/>
        <w:color w:val="404040"/>
      </w:rPr>
      <w:tblPr/>
      <w:tcPr>
        <w:tcBorders>
          <w:bottom w:val="single" w:sz="12" w:space="0" w:color="F2AB87"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6C5AB" w:themeColor="accent2" w:themeTint="67"/>
          <w:left w:val="single" w:sz="4" w:space="0" w:color="F6C5AB" w:themeColor="accent2" w:themeTint="67"/>
          <w:bottom w:val="single" w:sz="4" w:space="0" w:color="F6C5AB" w:themeColor="accent2" w:themeTint="67"/>
          <w:right w:val="single" w:sz="4" w:space="0" w:color="F6C5AB" w:themeColor="accent2" w:themeTint="67"/>
        </w:tcBorders>
      </w:tcPr>
    </w:tblStylePr>
  </w:style>
  <w:style w:type="table" w:customStyle="1" w:styleId="GridTable1Light-Accent3">
    <w:name w:val="Grid Table 1 Light - Accent 3"/>
    <w:basedOn w:val="NormaleTabelle"/>
    <w:uiPriority w:val="99"/>
    <w:pPr>
      <w:spacing w:after="0" w:line="240" w:lineRule="auto"/>
    </w:pPr>
    <w:tblPr>
      <w:tblStyleRowBandSize w:val="1"/>
      <w:tblStyleColBandSize w:val="1"/>
      <w:tblBorders>
        <w:top w:val="single" w:sz="4" w:space="0" w:color="83E28F" w:themeColor="accent3" w:themeTint="67"/>
        <w:left w:val="single" w:sz="4" w:space="0" w:color="83E28F" w:themeColor="accent3" w:themeTint="67"/>
        <w:bottom w:val="single" w:sz="4" w:space="0" w:color="83E28F" w:themeColor="accent3" w:themeTint="67"/>
        <w:right w:val="single" w:sz="4" w:space="0" w:color="83E28F" w:themeColor="accent3" w:themeTint="67"/>
        <w:insideH w:val="single" w:sz="4" w:space="0" w:color="83E28F" w:themeColor="accent3" w:themeTint="67"/>
        <w:insideV w:val="single" w:sz="4" w:space="0" w:color="83E28F" w:themeColor="accent3" w:themeTint="67"/>
      </w:tblBorders>
    </w:tblPr>
    <w:tblStylePr w:type="firstRow">
      <w:rPr>
        <w:b/>
        <w:color w:val="404040"/>
      </w:rPr>
      <w:tblPr/>
      <w:tcPr>
        <w:tcBorders>
          <w:bottom w:val="single" w:sz="12" w:space="0" w:color="4BD55E"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83E28F" w:themeColor="accent3" w:themeTint="67"/>
          <w:left w:val="single" w:sz="4" w:space="0" w:color="83E28F" w:themeColor="accent3" w:themeTint="67"/>
          <w:bottom w:val="single" w:sz="4" w:space="0" w:color="83E28F" w:themeColor="accent3" w:themeTint="67"/>
          <w:right w:val="single" w:sz="4" w:space="0" w:color="83E28F" w:themeColor="accent3" w:themeTint="67"/>
        </w:tcBorders>
      </w:tcPr>
    </w:tblStylePr>
  </w:style>
  <w:style w:type="table" w:customStyle="1" w:styleId="GridTable1Light-Accent4">
    <w:name w:val="Grid Table 1 Light - Accent 4"/>
    <w:basedOn w:val="NormaleTabelle"/>
    <w:uiPriority w:val="99"/>
    <w:pPr>
      <w:spacing w:after="0" w:line="240" w:lineRule="auto"/>
    </w:pPr>
    <w:tblPr>
      <w:tblStyleRowBandSize w:val="1"/>
      <w:tblStyleColBandSize w:val="1"/>
      <w:tblBorders>
        <w:top w:val="single" w:sz="4" w:space="0" w:color="94DBF7" w:themeColor="accent4" w:themeTint="67"/>
        <w:left w:val="single" w:sz="4" w:space="0" w:color="94DBF7" w:themeColor="accent4" w:themeTint="67"/>
        <w:bottom w:val="single" w:sz="4" w:space="0" w:color="94DBF7" w:themeColor="accent4" w:themeTint="67"/>
        <w:right w:val="single" w:sz="4" w:space="0" w:color="94DBF7" w:themeColor="accent4" w:themeTint="67"/>
        <w:insideH w:val="single" w:sz="4" w:space="0" w:color="94DBF7" w:themeColor="accent4" w:themeTint="67"/>
        <w:insideV w:val="single" w:sz="4" w:space="0" w:color="94DBF7" w:themeColor="accent4" w:themeTint="67"/>
      </w:tblBorders>
    </w:tblPr>
    <w:tblStylePr w:type="firstRow">
      <w:rPr>
        <w:b/>
        <w:color w:val="404040"/>
      </w:rPr>
      <w:tblPr/>
      <w:tcPr>
        <w:tcBorders>
          <w:bottom w:val="single" w:sz="12" w:space="0" w:color="64CCF4"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4DBF7" w:themeColor="accent4" w:themeTint="67"/>
          <w:left w:val="single" w:sz="4" w:space="0" w:color="94DBF7" w:themeColor="accent4" w:themeTint="67"/>
          <w:bottom w:val="single" w:sz="4" w:space="0" w:color="94DBF7" w:themeColor="accent4" w:themeTint="67"/>
          <w:right w:val="single" w:sz="4" w:space="0" w:color="94DBF7" w:themeColor="accent4" w:themeTint="67"/>
        </w:tcBorders>
      </w:tcPr>
    </w:tblStylePr>
  </w:style>
  <w:style w:type="table" w:customStyle="1" w:styleId="GridTable1Light-Accent5">
    <w:name w:val="Grid Table 1 Light - Accent 5"/>
    <w:basedOn w:val="NormaleTabelle"/>
    <w:uiPriority w:val="99"/>
    <w:pPr>
      <w:spacing w:after="0" w:line="240" w:lineRule="auto"/>
    </w:pPr>
    <w:tblPr>
      <w:tblStyleRowBandSize w:val="1"/>
      <w:tblStyleColBandSize w:val="1"/>
      <w:tblBorders>
        <w:top w:val="single" w:sz="4" w:space="0" w:color="E49DDC" w:themeColor="accent5" w:themeTint="67"/>
        <w:left w:val="single" w:sz="4" w:space="0" w:color="E49DDC" w:themeColor="accent5" w:themeTint="67"/>
        <w:bottom w:val="single" w:sz="4" w:space="0" w:color="E49DDC" w:themeColor="accent5" w:themeTint="67"/>
        <w:right w:val="single" w:sz="4" w:space="0" w:color="E49DDC" w:themeColor="accent5" w:themeTint="67"/>
        <w:insideH w:val="single" w:sz="4" w:space="0" w:color="E49DDC" w:themeColor="accent5" w:themeTint="67"/>
        <w:insideV w:val="single" w:sz="4" w:space="0" w:color="E49DDC" w:themeColor="accent5" w:themeTint="67"/>
      </w:tblBorders>
    </w:tblPr>
    <w:tblStylePr w:type="firstRow">
      <w:rPr>
        <w:b/>
        <w:color w:val="404040"/>
      </w:rPr>
      <w:tblPr/>
      <w:tcPr>
        <w:tcBorders>
          <w:bottom w:val="single" w:sz="12" w:space="0" w:color="D971C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49DDC" w:themeColor="accent5" w:themeTint="67"/>
          <w:left w:val="single" w:sz="4" w:space="0" w:color="E49DDC" w:themeColor="accent5" w:themeTint="67"/>
          <w:bottom w:val="single" w:sz="4" w:space="0" w:color="E49DDC" w:themeColor="accent5" w:themeTint="67"/>
          <w:right w:val="single" w:sz="4" w:space="0" w:color="E49DDC" w:themeColor="accent5" w:themeTint="67"/>
        </w:tcBorders>
      </w:tcPr>
    </w:tblStylePr>
  </w:style>
  <w:style w:type="table" w:customStyle="1" w:styleId="GridTable1Light-Accent6">
    <w:name w:val="Grid Table 1 Light - Accent 6"/>
    <w:basedOn w:val="NormaleTabelle"/>
    <w:uiPriority w:val="99"/>
    <w:pPr>
      <w:spacing w:after="0" w:line="240" w:lineRule="auto"/>
    </w:pPr>
    <w:tblPr>
      <w:tblStyleRowBandSize w:val="1"/>
      <w:tblStyleColBandSize w:val="1"/>
      <w:tblBorders>
        <w:top w:val="single" w:sz="4" w:space="0" w:color="B2E5A0" w:themeColor="accent6" w:themeTint="67"/>
        <w:left w:val="single" w:sz="4" w:space="0" w:color="B2E5A0" w:themeColor="accent6" w:themeTint="67"/>
        <w:bottom w:val="single" w:sz="4" w:space="0" w:color="B2E5A0" w:themeColor="accent6" w:themeTint="67"/>
        <w:right w:val="single" w:sz="4" w:space="0" w:color="B2E5A0" w:themeColor="accent6" w:themeTint="67"/>
        <w:insideH w:val="single" w:sz="4" w:space="0" w:color="B2E5A0" w:themeColor="accent6" w:themeTint="67"/>
        <w:insideV w:val="single" w:sz="4" w:space="0" w:color="B2E5A0" w:themeColor="accent6" w:themeTint="67"/>
      </w:tblBorders>
    </w:tblPr>
    <w:tblStylePr w:type="firstRow">
      <w:rPr>
        <w:b/>
        <w:color w:val="404040"/>
      </w:rPr>
      <w:tblPr/>
      <w:tcPr>
        <w:tcBorders>
          <w:bottom w:val="single" w:sz="12" w:space="0" w:color="90D976"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2E5A0" w:themeColor="accent6" w:themeTint="67"/>
          <w:left w:val="single" w:sz="4" w:space="0" w:color="B2E5A0" w:themeColor="accent6" w:themeTint="67"/>
          <w:bottom w:val="single" w:sz="4" w:space="0" w:color="B2E5A0" w:themeColor="accent6" w:themeTint="67"/>
          <w:right w:val="single" w:sz="4" w:space="0" w:color="B2E5A0" w:themeColor="accent6" w:themeTint="67"/>
        </w:tcBorders>
      </w:tcPr>
    </w:tblStylePr>
  </w:style>
  <w:style w:type="table" w:styleId="Gitternetztabelle2">
    <w:name w:val="Grid Table 2"/>
    <w:basedOn w:val="NormaleTabelle"/>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NormaleTabelle"/>
    <w:uiPriority w:val="99"/>
    <w:pPr>
      <w:spacing w:after="0" w:line="240" w:lineRule="auto"/>
    </w:pPr>
    <w:tblPr>
      <w:tblStyleRowBandSize w:val="1"/>
      <w:tblStyleColBandSize w:val="1"/>
      <w:tblBorders>
        <w:bottom w:val="single" w:sz="4" w:space="0" w:color="19729B" w:themeColor="accent1" w:themeTint="EA"/>
        <w:insideH w:val="single" w:sz="4" w:space="0" w:color="19729B" w:themeColor="accent1" w:themeTint="EA"/>
        <w:insideV w:val="single" w:sz="4" w:space="0" w:color="19729B" w:themeColor="accent1" w:themeTint="EA"/>
      </w:tblBorders>
    </w:tblPr>
    <w:tblStylePr w:type="firstRow">
      <w:rPr>
        <w:b/>
        <w:color w:val="404040"/>
      </w:rPr>
      <w:tblPr/>
      <w:tcPr>
        <w:tcBorders>
          <w:top w:val="none" w:sz="4" w:space="0" w:color="000000"/>
          <w:left w:val="none" w:sz="4" w:space="0" w:color="000000"/>
          <w:bottom w:val="single" w:sz="12" w:space="0" w:color="19729B" w:themeColor="accent1" w:themeTint="EA"/>
          <w:right w:val="none" w:sz="4" w:space="0" w:color="000000"/>
        </w:tcBorders>
        <w:shd w:val="clear" w:color="FFFFFF" w:fill="auto"/>
      </w:tcPr>
    </w:tblStylePr>
    <w:tblStylePr w:type="lastRow">
      <w:rPr>
        <w:b/>
        <w:color w:val="404040"/>
      </w:rPr>
      <w:tblPr/>
      <w:tcPr>
        <w:tcBorders>
          <w:top w:val="single" w:sz="4" w:space="0" w:color="19729B"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E4F4" w:themeColor="accent1" w:themeTint="34" w:fill="BFE4F4" w:themeFill="accent1" w:themeFillTint="34"/>
      </w:tcPr>
    </w:tblStylePr>
    <w:tblStylePr w:type="band1Horz">
      <w:rPr>
        <w:rFonts w:ascii="Arial" w:hAnsi="Arial"/>
        <w:color w:val="404040"/>
        <w:sz w:val="22"/>
      </w:rPr>
      <w:tblPr/>
      <w:tcPr>
        <w:shd w:val="clear" w:color="BFE4F4" w:themeColor="accent1" w:themeTint="34" w:fill="BFE4F4" w:themeFill="accent1" w:themeFillTint="34"/>
      </w:tcPr>
    </w:tblStylePr>
  </w:style>
  <w:style w:type="table" w:customStyle="1" w:styleId="GridTable2-Accent2">
    <w:name w:val="Grid Table 2 - Accent 2"/>
    <w:basedOn w:val="NormaleTabelle"/>
    <w:uiPriority w:val="99"/>
    <w:pPr>
      <w:spacing w:after="0" w:line="240" w:lineRule="auto"/>
    </w:pPr>
    <w:tblPr>
      <w:tblStyleRowBandSize w:val="1"/>
      <w:tblStyleColBandSize w:val="1"/>
      <w:tblBorders>
        <w:bottom w:val="single" w:sz="4" w:space="0" w:color="F2AA85" w:themeColor="accent2" w:themeTint="97"/>
        <w:insideH w:val="single" w:sz="4" w:space="0" w:color="F2AA85" w:themeColor="accent2" w:themeTint="97"/>
        <w:insideV w:val="single" w:sz="4" w:space="0" w:color="F2AA85" w:themeColor="accent2" w:themeTint="97"/>
      </w:tblBorders>
    </w:tblPr>
    <w:tblStylePr w:type="firstRow">
      <w:rPr>
        <w:b/>
        <w:color w:val="404040"/>
      </w:rPr>
      <w:tblPr/>
      <w:tcPr>
        <w:tcBorders>
          <w:top w:val="none" w:sz="4" w:space="0" w:color="000000"/>
          <w:left w:val="none" w:sz="4" w:space="0" w:color="000000"/>
          <w:bottom w:val="single" w:sz="12" w:space="0" w:color="F2AA85" w:themeColor="accent2" w:themeTint="97"/>
          <w:right w:val="none" w:sz="4" w:space="0" w:color="000000"/>
        </w:tcBorders>
        <w:shd w:val="clear" w:color="FFFFFF" w:fill="auto"/>
      </w:tcPr>
    </w:tblStylePr>
    <w:tblStylePr w:type="lastRow">
      <w:rPr>
        <w:b/>
        <w:color w:val="404040"/>
      </w:rPr>
      <w:tblPr/>
      <w:tcPr>
        <w:tcBorders>
          <w:top w:val="single" w:sz="4" w:space="0" w:color="F2AA8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E2D6" w:themeColor="accent2" w:themeTint="32" w:fill="FAE2D6" w:themeFill="accent2" w:themeFillTint="32"/>
      </w:tcPr>
    </w:tblStylePr>
    <w:tblStylePr w:type="band1Horz">
      <w:rPr>
        <w:rFonts w:ascii="Arial" w:hAnsi="Arial"/>
        <w:color w:val="404040"/>
        <w:sz w:val="22"/>
      </w:rPr>
      <w:tblPr/>
      <w:tcPr>
        <w:shd w:val="clear" w:color="FAE2D6" w:themeColor="accent2" w:themeTint="32" w:fill="FAE2D6" w:themeFill="accent2" w:themeFillTint="32"/>
      </w:tcPr>
    </w:tblStylePr>
  </w:style>
  <w:style w:type="table" w:customStyle="1" w:styleId="GridTable2-Accent3">
    <w:name w:val="Grid Table 2 - Accent 3"/>
    <w:basedOn w:val="NormaleTabelle"/>
    <w:uiPriority w:val="99"/>
    <w:pPr>
      <w:spacing w:after="0" w:line="240" w:lineRule="auto"/>
    </w:pPr>
    <w:tblPr>
      <w:tblStyleRowBandSize w:val="1"/>
      <w:tblStyleColBandSize w:val="1"/>
      <w:tblBorders>
        <w:bottom w:val="single" w:sz="4" w:space="0" w:color="196C24" w:themeColor="accent3" w:themeTint="FE"/>
        <w:insideH w:val="single" w:sz="4" w:space="0" w:color="196C24" w:themeColor="accent3" w:themeTint="FE"/>
        <w:insideV w:val="single" w:sz="4" w:space="0" w:color="196C24" w:themeColor="accent3" w:themeTint="FE"/>
      </w:tblBorders>
    </w:tblPr>
    <w:tblStylePr w:type="firstRow">
      <w:rPr>
        <w:b/>
        <w:color w:val="404040"/>
      </w:rPr>
      <w:tblPr/>
      <w:tcPr>
        <w:tcBorders>
          <w:top w:val="none" w:sz="4" w:space="0" w:color="000000"/>
          <w:left w:val="none" w:sz="4" w:space="0" w:color="000000"/>
          <w:bottom w:val="single" w:sz="12" w:space="0" w:color="196C24" w:themeColor="accent3" w:themeTint="FE"/>
          <w:right w:val="none" w:sz="4" w:space="0" w:color="000000"/>
        </w:tcBorders>
        <w:shd w:val="clear" w:color="FFFFFF" w:fill="auto"/>
      </w:tcPr>
    </w:tblStylePr>
    <w:tblStylePr w:type="lastRow">
      <w:rPr>
        <w:b/>
        <w:color w:val="404040"/>
      </w:rPr>
      <w:tblPr/>
      <w:tcPr>
        <w:tcBorders>
          <w:top w:val="single" w:sz="4" w:space="0" w:color="196C24"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0F0C6" w:themeColor="accent3" w:themeTint="34" w:fill="C0F0C6" w:themeFill="accent3" w:themeFillTint="34"/>
      </w:tcPr>
    </w:tblStylePr>
    <w:tblStylePr w:type="band1Horz">
      <w:rPr>
        <w:rFonts w:ascii="Arial" w:hAnsi="Arial"/>
        <w:color w:val="404040"/>
        <w:sz w:val="22"/>
      </w:rPr>
      <w:tblPr/>
      <w:tcPr>
        <w:shd w:val="clear" w:color="C0F0C6" w:themeColor="accent3" w:themeTint="34" w:fill="C0F0C6" w:themeFill="accent3" w:themeFillTint="34"/>
      </w:tcPr>
    </w:tblStylePr>
  </w:style>
  <w:style w:type="table" w:customStyle="1" w:styleId="GridTable2-Accent4">
    <w:name w:val="Grid Table 2 - Accent 4"/>
    <w:basedOn w:val="NormaleTabelle"/>
    <w:uiPriority w:val="99"/>
    <w:pPr>
      <w:spacing w:after="0" w:line="240" w:lineRule="auto"/>
    </w:pPr>
    <w:tblPr>
      <w:tblStyleRowBandSize w:val="1"/>
      <w:tblStyleColBandSize w:val="1"/>
      <w:tblBorders>
        <w:bottom w:val="single" w:sz="4" w:space="0" w:color="5FCAF3" w:themeColor="accent4" w:themeTint="9A"/>
        <w:insideH w:val="single" w:sz="4" w:space="0" w:color="5FCAF3" w:themeColor="accent4" w:themeTint="9A"/>
        <w:insideV w:val="single" w:sz="4" w:space="0" w:color="5FCAF3" w:themeColor="accent4" w:themeTint="9A"/>
      </w:tblBorders>
    </w:tblPr>
    <w:tblStylePr w:type="firstRow">
      <w:rPr>
        <w:b/>
        <w:color w:val="404040"/>
      </w:rPr>
      <w:tblPr/>
      <w:tcPr>
        <w:tcBorders>
          <w:top w:val="none" w:sz="4" w:space="0" w:color="000000"/>
          <w:left w:val="none" w:sz="4" w:space="0" w:color="000000"/>
          <w:bottom w:val="single" w:sz="12" w:space="0" w:color="5FCAF3" w:themeColor="accent4" w:themeTint="9A"/>
          <w:right w:val="none" w:sz="4" w:space="0" w:color="000000"/>
        </w:tcBorders>
        <w:shd w:val="clear" w:color="FFFFFF" w:fill="auto"/>
      </w:tcPr>
    </w:tblStylePr>
    <w:tblStylePr w:type="lastRow">
      <w:rPr>
        <w:b/>
        <w:color w:val="404040"/>
      </w:rPr>
      <w:tblPr/>
      <w:tcPr>
        <w:tcBorders>
          <w:top w:val="single" w:sz="4" w:space="0" w:color="5FCAF3"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9EDFB" w:themeColor="accent4" w:themeTint="34" w:fill="C9EDFB" w:themeFill="accent4" w:themeFillTint="34"/>
      </w:tcPr>
    </w:tblStylePr>
    <w:tblStylePr w:type="band1Horz">
      <w:rPr>
        <w:rFonts w:ascii="Arial" w:hAnsi="Arial"/>
        <w:color w:val="404040"/>
        <w:sz w:val="22"/>
      </w:rPr>
      <w:tblPr/>
      <w:tcPr>
        <w:shd w:val="clear" w:color="C9EDFB" w:themeColor="accent4" w:themeTint="34" w:fill="C9EDFB" w:themeFill="accent4" w:themeFillTint="34"/>
      </w:tcPr>
    </w:tblStylePr>
  </w:style>
  <w:style w:type="table" w:customStyle="1" w:styleId="GridTable2-Accent5">
    <w:name w:val="Grid Table 2 - Accent 5"/>
    <w:basedOn w:val="NormaleTabelle"/>
    <w:uiPriority w:val="99"/>
    <w:pPr>
      <w:spacing w:after="0" w:line="240" w:lineRule="auto"/>
    </w:pPr>
    <w:tblPr>
      <w:tblStyleRowBandSize w:val="1"/>
      <w:tblStyleColBandSize w:val="1"/>
      <w:tblBorders>
        <w:bottom w:val="single" w:sz="4" w:space="0" w:color="A02B93" w:themeColor="accent5"/>
        <w:insideH w:val="single" w:sz="4" w:space="0" w:color="A02B93" w:themeColor="accent5"/>
        <w:insideV w:val="single" w:sz="4" w:space="0" w:color="A02B93" w:themeColor="accent5"/>
      </w:tblBorders>
    </w:tblPr>
    <w:tblStylePr w:type="firstRow">
      <w:rPr>
        <w:b/>
        <w:color w:val="404040"/>
      </w:rPr>
      <w:tblPr/>
      <w:tcPr>
        <w:tcBorders>
          <w:top w:val="none" w:sz="4" w:space="0" w:color="000000"/>
          <w:left w:val="none" w:sz="4" w:space="0" w:color="000000"/>
          <w:bottom w:val="single" w:sz="12" w:space="0" w:color="A02B93" w:themeColor="accent5"/>
          <w:right w:val="none" w:sz="4" w:space="0" w:color="000000"/>
        </w:tcBorders>
        <w:shd w:val="clear" w:color="FFFFFF" w:fill="auto"/>
      </w:tcPr>
    </w:tblStylePr>
    <w:tblStylePr w:type="lastRow">
      <w:rPr>
        <w:b/>
        <w:color w:val="404040"/>
      </w:rPr>
      <w:tblPr/>
      <w:tcPr>
        <w:tcBorders>
          <w:top w:val="single" w:sz="4" w:space="0" w:color="A02B93"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1CDED" w:themeColor="accent5" w:themeTint="34" w:fill="F1CDED" w:themeFill="accent5" w:themeFillTint="34"/>
      </w:tcPr>
    </w:tblStylePr>
    <w:tblStylePr w:type="band1Horz">
      <w:rPr>
        <w:rFonts w:ascii="Arial" w:hAnsi="Arial"/>
        <w:color w:val="404040"/>
        <w:sz w:val="22"/>
      </w:rPr>
      <w:tblPr/>
      <w:tcPr>
        <w:shd w:val="clear" w:color="F1CDED" w:themeColor="accent5" w:themeTint="34" w:fill="F1CDED" w:themeFill="accent5" w:themeFillTint="34"/>
      </w:tcPr>
    </w:tblStylePr>
  </w:style>
  <w:style w:type="table" w:customStyle="1" w:styleId="GridTable2-Accent6">
    <w:name w:val="Grid Table 2 - Accent 6"/>
    <w:basedOn w:val="NormaleTabelle"/>
    <w:uiPriority w:val="99"/>
    <w:pPr>
      <w:spacing w:after="0" w:line="240" w:lineRule="auto"/>
    </w:pPr>
    <w:tblPr>
      <w:tblStyleRowBandSize w:val="1"/>
      <w:tblStyleColBandSize w:val="1"/>
      <w:tblBorders>
        <w:bottom w:val="single" w:sz="4" w:space="0" w:color="4EA72E" w:themeColor="accent6"/>
        <w:insideH w:val="single" w:sz="4" w:space="0" w:color="4EA72E" w:themeColor="accent6"/>
        <w:insideV w:val="single" w:sz="4" w:space="0" w:color="4EA72E" w:themeColor="accent6"/>
      </w:tblBorders>
    </w:tblPr>
    <w:tblStylePr w:type="firstRow">
      <w:rPr>
        <w:b/>
        <w:color w:val="404040"/>
      </w:rPr>
      <w:tblPr/>
      <w:tcPr>
        <w:tcBorders>
          <w:top w:val="none" w:sz="4" w:space="0" w:color="000000"/>
          <w:left w:val="none" w:sz="4" w:space="0" w:color="000000"/>
          <w:bottom w:val="single" w:sz="12" w:space="0" w:color="4EA72E" w:themeColor="accent6"/>
          <w:right w:val="none" w:sz="4" w:space="0" w:color="000000"/>
        </w:tcBorders>
        <w:shd w:val="clear" w:color="FFFFFF" w:fill="auto"/>
      </w:tcPr>
    </w:tblStylePr>
    <w:tblStylePr w:type="lastRow">
      <w:rPr>
        <w:b/>
        <w:color w:val="404040"/>
      </w:rPr>
      <w:tblPr/>
      <w:tcPr>
        <w:tcBorders>
          <w:top w:val="single" w:sz="4" w:space="0" w:color="4EA72E"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F2CF" w:themeColor="accent6" w:themeTint="34" w:fill="D8F2CF" w:themeFill="accent6" w:themeFillTint="34"/>
      </w:tcPr>
    </w:tblStylePr>
    <w:tblStylePr w:type="band1Horz">
      <w:rPr>
        <w:rFonts w:ascii="Arial" w:hAnsi="Arial"/>
        <w:color w:val="404040"/>
        <w:sz w:val="22"/>
      </w:rPr>
      <w:tblPr/>
      <w:tcPr>
        <w:shd w:val="clear" w:color="D8F2CF" w:themeColor="accent6" w:themeTint="34" w:fill="D8F2CF" w:themeFill="accent6" w:themeFillTint="34"/>
      </w:tcPr>
    </w:tblStylePr>
  </w:style>
  <w:style w:type="table" w:styleId="Gitternetztabelle3">
    <w:name w:val="Grid Table 3"/>
    <w:basedOn w:val="NormaleTabelle"/>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NormaleTabelle"/>
    <w:uiPriority w:val="99"/>
    <w:pPr>
      <w:spacing w:after="0" w:line="240" w:lineRule="auto"/>
    </w:pPr>
    <w:tblPr>
      <w:tblStyleRowBandSize w:val="1"/>
      <w:tblStyleColBandSize w:val="1"/>
      <w:tblBorders>
        <w:bottom w:val="single" w:sz="4" w:space="0" w:color="19729B" w:themeColor="accent1" w:themeTint="EA"/>
        <w:insideH w:val="single" w:sz="4" w:space="0" w:color="19729B" w:themeColor="accent1" w:themeTint="EA"/>
        <w:insideV w:val="single" w:sz="4" w:space="0" w:color="19729B"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BFE4F4" w:themeColor="accent1" w:themeTint="34" w:fill="BFE4F4" w:themeFill="accent1" w:themeFillTint="34"/>
      </w:tcPr>
    </w:tblStylePr>
    <w:tblStylePr w:type="band1Horz">
      <w:rPr>
        <w:rFonts w:ascii="Arial" w:hAnsi="Arial"/>
        <w:color w:val="404040"/>
        <w:sz w:val="22"/>
      </w:rPr>
      <w:tblPr/>
      <w:tcPr>
        <w:shd w:val="clear" w:color="BFE4F4" w:themeColor="accent1" w:themeTint="34" w:fill="BFE4F4" w:themeFill="accent1" w:themeFillTint="34"/>
      </w:tcPr>
    </w:tblStylePr>
  </w:style>
  <w:style w:type="table" w:customStyle="1" w:styleId="GridTable3-Accent2">
    <w:name w:val="Grid Table 3 - Accent 2"/>
    <w:basedOn w:val="NormaleTabelle"/>
    <w:uiPriority w:val="99"/>
    <w:pPr>
      <w:spacing w:after="0" w:line="240" w:lineRule="auto"/>
    </w:pPr>
    <w:tblPr>
      <w:tblStyleRowBandSize w:val="1"/>
      <w:tblStyleColBandSize w:val="1"/>
      <w:tblBorders>
        <w:bottom w:val="single" w:sz="4" w:space="0" w:color="F2AA85" w:themeColor="accent2" w:themeTint="97"/>
        <w:insideH w:val="single" w:sz="4" w:space="0" w:color="F2AA85" w:themeColor="accent2" w:themeTint="97"/>
        <w:insideV w:val="single" w:sz="4" w:space="0" w:color="F2AA8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AE2D6" w:themeColor="accent2" w:themeTint="32" w:fill="FAE2D6" w:themeFill="accent2" w:themeFillTint="32"/>
      </w:tcPr>
    </w:tblStylePr>
    <w:tblStylePr w:type="band1Horz">
      <w:rPr>
        <w:rFonts w:ascii="Arial" w:hAnsi="Arial"/>
        <w:color w:val="404040"/>
        <w:sz w:val="22"/>
      </w:rPr>
      <w:tblPr/>
      <w:tcPr>
        <w:shd w:val="clear" w:color="FAE2D6" w:themeColor="accent2" w:themeTint="32" w:fill="FAE2D6" w:themeFill="accent2" w:themeFillTint="32"/>
      </w:tcPr>
    </w:tblStylePr>
  </w:style>
  <w:style w:type="table" w:customStyle="1" w:styleId="GridTable3-Accent3">
    <w:name w:val="Grid Table 3 - Accent 3"/>
    <w:basedOn w:val="NormaleTabelle"/>
    <w:uiPriority w:val="99"/>
    <w:pPr>
      <w:spacing w:after="0" w:line="240" w:lineRule="auto"/>
    </w:pPr>
    <w:tblPr>
      <w:tblStyleRowBandSize w:val="1"/>
      <w:tblStyleColBandSize w:val="1"/>
      <w:tblBorders>
        <w:bottom w:val="single" w:sz="4" w:space="0" w:color="196C24" w:themeColor="accent3" w:themeTint="FE"/>
        <w:insideH w:val="single" w:sz="4" w:space="0" w:color="196C24" w:themeColor="accent3" w:themeTint="FE"/>
        <w:insideV w:val="single" w:sz="4" w:space="0" w:color="196C24"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0F0C6" w:themeColor="accent3" w:themeTint="34" w:fill="C0F0C6" w:themeFill="accent3" w:themeFillTint="34"/>
      </w:tcPr>
    </w:tblStylePr>
    <w:tblStylePr w:type="band1Horz">
      <w:rPr>
        <w:rFonts w:ascii="Arial" w:hAnsi="Arial"/>
        <w:color w:val="404040"/>
        <w:sz w:val="22"/>
      </w:rPr>
      <w:tblPr/>
      <w:tcPr>
        <w:shd w:val="clear" w:color="C0F0C6" w:themeColor="accent3" w:themeTint="34" w:fill="C0F0C6" w:themeFill="accent3" w:themeFillTint="34"/>
      </w:tcPr>
    </w:tblStylePr>
  </w:style>
  <w:style w:type="table" w:customStyle="1" w:styleId="GridTable3-Accent4">
    <w:name w:val="Grid Table 3 - Accent 4"/>
    <w:basedOn w:val="NormaleTabelle"/>
    <w:uiPriority w:val="99"/>
    <w:pPr>
      <w:spacing w:after="0" w:line="240" w:lineRule="auto"/>
    </w:pPr>
    <w:tblPr>
      <w:tblStyleRowBandSize w:val="1"/>
      <w:tblStyleColBandSize w:val="1"/>
      <w:tblBorders>
        <w:bottom w:val="single" w:sz="4" w:space="0" w:color="5FCAF3" w:themeColor="accent4" w:themeTint="9A"/>
        <w:insideH w:val="single" w:sz="4" w:space="0" w:color="5FCAF3" w:themeColor="accent4" w:themeTint="9A"/>
        <w:insideV w:val="single" w:sz="4" w:space="0" w:color="5FCAF3"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9EDFB" w:themeColor="accent4" w:themeTint="34" w:fill="C9EDFB" w:themeFill="accent4" w:themeFillTint="34"/>
      </w:tcPr>
    </w:tblStylePr>
    <w:tblStylePr w:type="band1Horz">
      <w:rPr>
        <w:rFonts w:ascii="Arial" w:hAnsi="Arial"/>
        <w:color w:val="404040"/>
        <w:sz w:val="22"/>
      </w:rPr>
      <w:tblPr/>
      <w:tcPr>
        <w:shd w:val="clear" w:color="C9EDFB" w:themeColor="accent4" w:themeTint="34" w:fill="C9EDFB" w:themeFill="accent4" w:themeFillTint="34"/>
      </w:tcPr>
    </w:tblStylePr>
  </w:style>
  <w:style w:type="table" w:customStyle="1" w:styleId="GridTable3-Accent5">
    <w:name w:val="Grid Table 3 - Accent 5"/>
    <w:basedOn w:val="NormaleTabelle"/>
    <w:uiPriority w:val="99"/>
    <w:pPr>
      <w:spacing w:after="0" w:line="240" w:lineRule="auto"/>
    </w:pPr>
    <w:tblPr>
      <w:tblStyleRowBandSize w:val="1"/>
      <w:tblStyleColBandSize w:val="1"/>
      <w:tblBorders>
        <w:bottom w:val="single" w:sz="4" w:space="0" w:color="A02B93" w:themeColor="accent5"/>
        <w:insideH w:val="single" w:sz="4" w:space="0" w:color="A02B93" w:themeColor="accent5"/>
        <w:insideV w:val="single" w:sz="4" w:space="0" w:color="A02B93"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1CDED" w:themeColor="accent5" w:themeTint="34" w:fill="F1CDED" w:themeFill="accent5" w:themeFillTint="34"/>
      </w:tcPr>
    </w:tblStylePr>
    <w:tblStylePr w:type="band1Horz">
      <w:rPr>
        <w:rFonts w:ascii="Arial" w:hAnsi="Arial"/>
        <w:color w:val="404040"/>
        <w:sz w:val="22"/>
      </w:rPr>
      <w:tblPr/>
      <w:tcPr>
        <w:shd w:val="clear" w:color="F1CDED" w:themeColor="accent5" w:themeTint="34" w:fill="F1CDED" w:themeFill="accent5" w:themeFillTint="34"/>
      </w:tcPr>
    </w:tblStylePr>
  </w:style>
  <w:style w:type="table" w:customStyle="1" w:styleId="GridTable3-Accent6">
    <w:name w:val="Grid Table 3 - Accent 6"/>
    <w:basedOn w:val="NormaleTabelle"/>
    <w:uiPriority w:val="99"/>
    <w:pPr>
      <w:spacing w:after="0" w:line="240" w:lineRule="auto"/>
    </w:pPr>
    <w:tblPr>
      <w:tblStyleRowBandSize w:val="1"/>
      <w:tblStyleColBandSize w:val="1"/>
      <w:tblBorders>
        <w:bottom w:val="single" w:sz="4" w:space="0" w:color="4EA72E" w:themeColor="accent6"/>
        <w:insideH w:val="single" w:sz="4" w:space="0" w:color="4EA72E" w:themeColor="accent6"/>
        <w:insideV w:val="single" w:sz="4" w:space="0" w:color="4EA72E"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F2CF" w:themeColor="accent6" w:themeTint="34" w:fill="D8F2CF" w:themeFill="accent6" w:themeFillTint="34"/>
      </w:tcPr>
    </w:tblStylePr>
    <w:tblStylePr w:type="band1Horz">
      <w:rPr>
        <w:rFonts w:ascii="Arial" w:hAnsi="Arial"/>
        <w:color w:val="404040"/>
        <w:sz w:val="22"/>
      </w:rPr>
      <w:tblPr/>
      <w:tcPr>
        <w:shd w:val="clear" w:color="D8F2CF" w:themeColor="accent6" w:themeTint="34" w:fill="D8F2CF" w:themeFill="accent6" w:themeFillTint="34"/>
      </w:tcPr>
    </w:tblStylePr>
  </w:style>
  <w:style w:type="table" w:styleId="Gitternetztabelle4">
    <w:name w:val="Grid Table 4"/>
    <w:basedOn w:val="NormaleTabelle"/>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NormaleTabelle"/>
    <w:uiPriority w:val="59"/>
    <w:pPr>
      <w:spacing w:after="0" w:line="240" w:lineRule="auto"/>
    </w:pPr>
    <w:tblPr>
      <w:tblStyleRowBandSize w:val="1"/>
      <w:tblStyleColBandSize w:val="1"/>
      <w:tblBorders>
        <w:top w:val="single" w:sz="4" w:space="0" w:color="50B4E2" w:themeColor="accent1" w:themeTint="90"/>
        <w:left w:val="single" w:sz="4" w:space="0" w:color="50B4E2" w:themeColor="accent1" w:themeTint="90"/>
        <w:bottom w:val="single" w:sz="4" w:space="0" w:color="50B4E2" w:themeColor="accent1" w:themeTint="90"/>
        <w:right w:val="single" w:sz="4" w:space="0" w:color="50B4E2" w:themeColor="accent1" w:themeTint="90"/>
        <w:insideH w:val="single" w:sz="4" w:space="0" w:color="50B4E2" w:themeColor="accent1" w:themeTint="90"/>
        <w:insideV w:val="single" w:sz="4" w:space="0" w:color="50B4E2" w:themeColor="accent1" w:themeTint="90"/>
      </w:tblBorders>
    </w:tblPr>
    <w:tblStylePr w:type="firstRow">
      <w:rPr>
        <w:rFonts w:ascii="Arial" w:hAnsi="Arial"/>
        <w:b/>
        <w:color w:val="FFFFFF"/>
        <w:sz w:val="22"/>
      </w:rPr>
      <w:tblPr/>
      <w:tcPr>
        <w:tcBorders>
          <w:top w:val="single" w:sz="4" w:space="0" w:color="19729B" w:themeColor="accent1" w:themeTint="EA"/>
          <w:left w:val="single" w:sz="4" w:space="0" w:color="19729B" w:themeColor="accent1" w:themeTint="EA"/>
          <w:bottom w:val="single" w:sz="4" w:space="0" w:color="19729B" w:themeColor="accent1" w:themeTint="EA"/>
          <w:right w:val="single" w:sz="4" w:space="0" w:color="19729B" w:themeColor="accent1" w:themeTint="EA"/>
        </w:tcBorders>
        <w:shd w:val="clear" w:color="19729B" w:themeColor="accent1" w:themeTint="EA" w:fill="19729B" w:themeFill="accent1" w:themeFillTint="EA"/>
      </w:tcPr>
    </w:tblStylePr>
    <w:tblStylePr w:type="lastRow">
      <w:rPr>
        <w:b/>
        <w:color w:val="404040"/>
      </w:rPr>
      <w:tblPr/>
      <w:tcPr>
        <w:tcBorders>
          <w:top w:val="single" w:sz="4" w:space="0" w:color="19729B"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2E5F5" w:themeColor="accent1" w:themeTint="32" w:fill="C2E5F5" w:themeFill="accent1" w:themeFillTint="32"/>
      </w:tcPr>
    </w:tblStylePr>
    <w:tblStylePr w:type="band1Horz">
      <w:rPr>
        <w:rFonts w:ascii="Arial" w:hAnsi="Arial"/>
        <w:color w:val="404040"/>
        <w:sz w:val="22"/>
      </w:rPr>
      <w:tblPr/>
      <w:tcPr>
        <w:shd w:val="clear" w:color="C2E5F5" w:themeColor="accent1" w:themeTint="32" w:fill="C2E5F5" w:themeFill="accent1" w:themeFillTint="32"/>
      </w:tcPr>
    </w:tblStylePr>
  </w:style>
  <w:style w:type="table" w:customStyle="1" w:styleId="GridTable4-Accent2">
    <w:name w:val="Grid Table 4 - Accent 2"/>
    <w:basedOn w:val="NormaleTabelle"/>
    <w:uiPriority w:val="59"/>
    <w:pPr>
      <w:spacing w:after="0" w:line="240" w:lineRule="auto"/>
    </w:pPr>
    <w:tblPr>
      <w:tblStyleRowBandSize w:val="1"/>
      <w:tblStyleColBandSize w:val="1"/>
      <w:tblBorders>
        <w:top w:val="single" w:sz="4" w:space="0" w:color="F2AE8B" w:themeColor="accent2" w:themeTint="90"/>
        <w:left w:val="single" w:sz="4" w:space="0" w:color="F2AE8B" w:themeColor="accent2" w:themeTint="90"/>
        <w:bottom w:val="single" w:sz="4" w:space="0" w:color="F2AE8B" w:themeColor="accent2" w:themeTint="90"/>
        <w:right w:val="single" w:sz="4" w:space="0" w:color="F2AE8B" w:themeColor="accent2" w:themeTint="90"/>
        <w:insideH w:val="single" w:sz="4" w:space="0" w:color="F2AE8B" w:themeColor="accent2" w:themeTint="90"/>
        <w:insideV w:val="single" w:sz="4" w:space="0" w:color="F2AE8B" w:themeColor="accent2" w:themeTint="90"/>
      </w:tblBorders>
    </w:tblPr>
    <w:tblStylePr w:type="firstRow">
      <w:rPr>
        <w:rFonts w:ascii="Arial" w:hAnsi="Arial"/>
        <w:b/>
        <w:color w:val="FFFFFF"/>
        <w:sz w:val="22"/>
      </w:rPr>
      <w:tblPr/>
      <w:tcPr>
        <w:tcBorders>
          <w:top w:val="single" w:sz="4" w:space="0" w:color="F2AA85" w:themeColor="accent2" w:themeTint="97"/>
          <w:left w:val="single" w:sz="4" w:space="0" w:color="F2AA85" w:themeColor="accent2" w:themeTint="97"/>
          <w:bottom w:val="single" w:sz="4" w:space="0" w:color="F2AA85" w:themeColor="accent2" w:themeTint="97"/>
          <w:right w:val="single" w:sz="4" w:space="0" w:color="F2AA85" w:themeColor="accent2" w:themeTint="97"/>
        </w:tcBorders>
        <w:shd w:val="clear" w:color="F2AA85" w:themeColor="accent2" w:themeTint="97" w:fill="F2AA85" w:themeFill="accent2" w:themeFillTint="97"/>
      </w:tcPr>
    </w:tblStylePr>
    <w:tblStylePr w:type="lastRow">
      <w:rPr>
        <w:b/>
        <w:color w:val="404040"/>
      </w:rPr>
      <w:tblPr/>
      <w:tcPr>
        <w:tcBorders>
          <w:top w:val="single" w:sz="4" w:space="0" w:color="F2AA8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E2D6" w:themeColor="accent2" w:themeTint="32" w:fill="FAE2D6" w:themeFill="accent2" w:themeFillTint="32"/>
      </w:tcPr>
    </w:tblStylePr>
    <w:tblStylePr w:type="band1Horz">
      <w:rPr>
        <w:rFonts w:ascii="Arial" w:hAnsi="Arial"/>
        <w:color w:val="404040"/>
        <w:sz w:val="22"/>
      </w:rPr>
      <w:tblPr/>
      <w:tcPr>
        <w:shd w:val="clear" w:color="FAE2D6" w:themeColor="accent2" w:themeTint="32" w:fill="FAE2D6" w:themeFill="accent2" w:themeFillTint="32"/>
      </w:tcPr>
    </w:tblStylePr>
  </w:style>
  <w:style w:type="table" w:customStyle="1" w:styleId="GridTable4-Accent3">
    <w:name w:val="Grid Table 4 - Accent 3"/>
    <w:basedOn w:val="NormaleTabelle"/>
    <w:uiPriority w:val="59"/>
    <w:pPr>
      <w:spacing w:after="0" w:line="240" w:lineRule="auto"/>
    </w:pPr>
    <w:tblPr>
      <w:tblStyleRowBandSize w:val="1"/>
      <w:tblStyleColBandSize w:val="1"/>
      <w:tblBorders>
        <w:top w:val="single" w:sz="4" w:space="0" w:color="51D663" w:themeColor="accent3" w:themeTint="90"/>
        <w:left w:val="single" w:sz="4" w:space="0" w:color="51D663" w:themeColor="accent3" w:themeTint="90"/>
        <w:bottom w:val="single" w:sz="4" w:space="0" w:color="51D663" w:themeColor="accent3" w:themeTint="90"/>
        <w:right w:val="single" w:sz="4" w:space="0" w:color="51D663" w:themeColor="accent3" w:themeTint="90"/>
        <w:insideH w:val="single" w:sz="4" w:space="0" w:color="51D663" w:themeColor="accent3" w:themeTint="90"/>
        <w:insideV w:val="single" w:sz="4" w:space="0" w:color="51D663" w:themeColor="accent3" w:themeTint="90"/>
      </w:tblBorders>
    </w:tblPr>
    <w:tblStylePr w:type="firstRow">
      <w:rPr>
        <w:rFonts w:ascii="Arial" w:hAnsi="Arial"/>
        <w:b/>
        <w:color w:val="FFFFFF"/>
        <w:sz w:val="22"/>
      </w:rPr>
      <w:tblPr/>
      <w:tcPr>
        <w:tcBorders>
          <w:top w:val="single" w:sz="4" w:space="0" w:color="196C24" w:themeColor="accent3" w:themeTint="FE"/>
          <w:left w:val="single" w:sz="4" w:space="0" w:color="196C24" w:themeColor="accent3" w:themeTint="FE"/>
          <w:bottom w:val="single" w:sz="4" w:space="0" w:color="196C24" w:themeColor="accent3" w:themeTint="FE"/>
          <w:right w:val="single" w:sz="4" w:space="0" w:color="196C24" w:themeColor="accent3" w:themeTint="FE"/>
        </w:tcBorders>
        <w:shd w:val="clear" w:color="196C24" w:themeColor="accent3" w:themeTint="FE" w:fill="196C24" w:themeFill="accent3" w:themeFillTint="FE"/>
      </w:tcPr>
    </w:tblStylePr>
    <w:tblStylePr w:type="lastRow">
      <w:rPr>
        <w:b/>
        <w:color w:val="404040"/>
      </w:rPr>
      <w:tblPr/>
      <w:tcPr>
        <w:tcBorders>
          <w:top w:val="single" w:sz="4" w:space="0" w:color="196C24"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0F0C6" w:themeColor="accent3" w:themeTint="34" w:fill="C0F0C6" w:themeFill="accent3" w:themeFillTint="34"/>
      </w:tcPr>
    </w:tblStylePr>
    <w:tblStylePr w:type="band1Horz">
      <w:rPr>
        <w:rFonts w:ascii="Arial" w:hAnsi="Arial"/>
        <w:color w:val="404040"/>
        <w:sz w:val="22"/>
      </w:rPr>
      <w:tblPr/>
      <w:tcPr>
        <w:shd w:val="clear" w:color="C0F0C6" w:themeColor="accent3" w:themeTint="34" w:fill="C0F0C6" w:themeFill="accent3" w:themeFillTint="34"/>
      </w:tcPr>
    </w:tblStylePr>
  </w:style>
  <w:style w:type="table" w:customStyle="1" w:styleId="GridTable4-Accent4">
    <w:name w:val="Grid Table 4 - Accent 4"/>
    <w:basedOn w:val="NormaleTabelle"/>
    <w:uiPriority w:val="59"/>
    <w:pPr>
      <w:spacing w:after="0" w:line="240" w:lineRule="auto"/>
    </w:pPr>
    <w:tblPr>
      <w:tblStyleRowBandSize w:val="1"/>
      <w:tblStyleColBandSize w:val="1"/>
      <w:tblBorders>
        <w:top w:val="single" w:sz="4" w:space="0" w:color="6ACDF4" w:themeColor="accent4" w:themeTint="90"/>
        <w:left w:val="single" w:sz="4" w:space="0" w:color="6ACDF4" w:themeColor="accent4" w:themeTint="90"/>
        <w:bottom w:val="single" w:sz="4" w:space="0" w:color="6ACDF4" w:themeColor="accent4" w:themeTint="90"/>
        <w:right w:val="single" w:sz="4" w:space="0" w:color="6ACDF4" w:themeColor="accent4" w:themeTint="90"/>
        <w:insideH w:val="single" w:sz="4" w:space="0" w:color="6ACDF4" w:themeColor="accent4" w:themeTint="90"/>
        <w:insideV w:val="single" w:sz="4" w:space="0" w:color="6ACDF4" w:themeColor="accent4" w:themeTint="90"/>
      </w:tblBorders>
    </w:tblPr>
    <w:tblStylePr w:type="firstRow">
      <w:rPr>
        <w:rFonts w:ascii="Arial" w:hAnsi="Arial"/>
        <w:b/>
        <w:color w:val="FFFFFF"/>
        <w:sz w:val="22"/>
      </w:rPr>
      <w:tblPr/>
      <w:tcPr>
        <w:tcBorders>
          <w:top w:val="single" w:sz="4" w:space="0" w:color="5FCAF3" w:themeColor="accent4" w:themeTint="9A"/>
          <w:left w:val="single" w:sz="4" w:space="0" w:color="5FCAF3" w:themeColor="accent4" w:themeTint="9A"/>
          <w:bottom w:val="single" w:sz="4" w:space="0" w:color="5FCAF3" w:themeColor="accent4" w:themeTint="9A"/>
          <w:right w:val="single" w:sz="4" w:space="0" w:color="5FCAF3" w:themeColor="accent4" w:themeTint="9A"/>
        </w:tcBorders>
        <w:shd w:val="clear" w:color="5FCAF3" w:themeColor="accent4" w:themeTint="9A" w:fill="5FCAF3" w:themeFill="accent4" w:themeFillTint="9A"/>
      </w:tcPr>
    </w:tblStylePr>
    <w:tblStylePr w:type="lastRow">
      <w:rPr>
        <w:b/>
        <w:color w:val="404040"/>
      </w:rPr>
      <w:tblPr/>
      <w:tcPr>
        <w:tcBorders>
          <w:top w:val="single" w:sz="4" w:space="0" w:color="5FCAF3"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9EDFB" w:themeColor="accent4" w:themeTint="34" w:fill="C9EDFB" w:themeFill="accent4" w:themeFillTint="34"/>
      </w:tcPr>
    </w:tblStylePr>
    <w:tblStylePr w:type="band1Horz">
      <w:rPr>
        <w:rFonts w:ascii="Arial" w:hAnsi="Arial"/>
        <w:color w:val="404040"/>
        <w:sz w:val="22"/>
      </w:rPr>
      <w:tblPr/>
      <w:tcPr>
        <w:shd w:val="clear" w:color="C9EDFB" w:themeColor="accent4" w:themeTint="34" w:fill="C9EDFB" w:themeFill="accent4" w:themeFillTint="34"/>
      </w:tcPr>
    </w:tblStylePr>
  </w:style>
  <w:style w:type="table" w:customStyle="1" w:styleId="GridTable4-Accent5">
    <w:name w:val="Grid Table 4 - Accent 5"/>
    <w:basedOn w:val="NormaleTabelle"/>
    <w:uiPriority w:val="59"/>
    <w:pPr>
      <w:spacing w:after="0" w:line="240" w:lineRule="auto"/>
    </w:pPr>
    <w:tblPr>
      <w:tblStyleRowBandSize w:val="1"/>
      <w:tblStyleColBandSize w:val="1"/>
      <w:tblBorders>
        <w:top w:val="single" w:sz="4" w:space="0" w:color="DA76CE" w:themeColor="accent5" w:themeTint="90"/>
        <w:left w:val="single" w:sz="4" w:space="0" w:color="DA76CE" w:themeColor="accent5" w:themeTint="90"/>
        <w:bottom w:val="single" w:sz="4" w:space="0" w:color="DA76CE" w:themeColor="accent5" w:themeTint="90"/>
        <w:right w:val="single" w:sz="4" w:space="0" w:color="DA76CE" w:themeColor="accent5" w:themeTint="90"/>
        <w:insideH w:val="single" w:sz="4" w:space="0" w:color="DA76CE" w:themeColor="accent5" w:themeTint="90"/>
        <w:insideV w:val="single" w:sz="4" w:space="0" w:color="DA76CE" w:themeColor="accent5" w:themeTint="90"/>
      </w:tblBorders>
    </w:tblPr>
    <w:tblStylePr w:type="firstRow">
      <w:rPr>
        <w:rFonts w:ascii="Arial" w:hAnsi="Arial"/>
        <w:b/>
        <w:color w:val="FFFFFF"/>
        <w:sz w:val="22"/>
      </w:rPr>
      <w:tblPr/>
      <w:tcPr>
        <w:tcBorders>
          <w:top w:val="single" w:sz="4" w:space="0" w:color="A02B93" w:themeColor="accent5"/>
          <w:left w:val="single" w:sz="4" w:space="0" w:color="A02B93" w:themeColor="accent5"/>
          <w:bottom w:val="single" w:sz="4" w:space="0" w:color="A02B93" w:themeColor="accent5"/>
          <w:right w:val="single" w:sz="4" w:space="0" w:color="A02B93" w:themeColor="accent5"/>
        </w:tcBorders>
        <w:shd w:val="clear" w:color="A02B93" w:themeColor="accent5" w:fill="A02B93" w:themeFill="accent5"/>
      </w:tcPr>
    </w:tblStylePr>
    <w:tblStylePr w:type="lastRow">
      <w:rPr>
        <w:b/>
        <w:color w:val="404040"/>
      </w:rPr>
      <w:tblPr/>
      <w:tcPr>
        <w:tcBorders>
          <w:top w:val="single" w:sz="4" w:space="0" w:color="A02B93"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1CDED" w:themeColor="accent5" w:themeTint="34" w:fill="F1CDED" w:themeFill="accent5" w:themeFillTint="34"/>
      </w:tcPr>
    </w:tblStylePr>
    <w:tblStylePr w:type="band1Horz">
      <w:rPr>
        <w:rFonts w:ascii="Arial" w:hAnsi="Arial"/>
        <w:color w:val="404040"/>
        <w:sz w:val="22"/>
      </w:rPr>
      <w:tblPr/>
      <w:tcPr>
        <w:shd w:val="clear" w:color="F1CDED" w:themeColor="accent5" w:themeTint="34" w:fill="F1CDED" w:themeFill="accent5" w:themeFillTint="34"/>
      </w:tcPr>
    </w:tblStylePr>
  </w:style>
  <w:style w:type="table" w:customStyle="1" w:styleId="GridTable4-Accent6">
    <w:name w:val="Grid Table 4 - Accent 6"/>
    <w:basedOn w:val="NormaleTabelle"/>
    <w:uiPriority w:val="59"/>
    <w:pPr>
      <w:spacing w:after="0" w:line="240" w:lineRule="auto"/>
    </w:pPr>
    <w:tblPr>
      <w:tblStyleRowBandSize w:val="1"/>
      <w:tblStyleColBandSize w:val="1"/>
      <w:tblBorders>
        <w:top w:val="single" w:sz="4" w:space="0" w:color="94DA7B" w:themeColor="accent6" w:themeTint="90"/>
        <w:left w:val="single" w:sz="4" w:space="0" w:color="94DA7B" w:themeColor="accent6" w:themeTint="90"/>
        <w:bottom w:val="single" w:sz="4" w:space="0" w:color="94DA7B" w:themeColor="accent6" w:themeTint="90"/>
        <w:right w:val="single" w:sz="4" w:space="0" w:color="94DA7B" w:themeColor="accent6" w:themeTint="90"/>
        <w:insideH w:val="single" w:sz="4" w:space="0" w:color="94DA7B" w:themeColor="accent6" w:themeTint="90"/>
        <w:insideV w:val="single" w:sz="4" w:space="0" w:color="94DA7B" w:themeColor="accent6" w:themeTint="90"/>
      </w:tblBorders>
    </w:tblPr>
    <w:tblStylePr w:type="firstRow">
      <w:rPr>
        <w:rFonts w:ascii="Arial" w:hAnsi="Arial"/>
        <w:b/>
        <w:color w:val="FFFFFF"/>
        <w:sz w:val="22"/>
      </w:rPr>
      <w:tblPr/>
      <w:tcPr>
        <w:tcBorders>
          <w:top w:val="single" w:sz="4" w:space="0" w:color="4EA72E" w:themeColor="accent6"/>
          <w:left w:val="single" w:sz="4" w:space="0" w:color="4EA72E" w:themeColor="accent6"/>
          <w:bottom w:val="single" w:sz="4" w:space="0" w:color="4EA72E" w:themeColor="accent6"/>
          <w:right w:val="single" w:sz="4" w:space="0" w:color="4EA72E" w:themeColor="accent6"/>
        </w:tcBorders>
        <w:shd w:val="clear" w:color="4EA72E" w:themeColor="accent6" w:fill="4EA72E" w:themeFill="accent6"/>
      </w:tcPr>
    </w:tblStylePr>
    <w:tblStylePr w:type="lastRow">
      <w:rPr>
        <w:b/>
        <w:color w:val="404040"/>
      </w:rPr>
      <w:tblPr/>
      <w:tcPr>
        <w:tcBorders>
          <w:top w:val="single" w:sz="4" w:space="0" w:color="4EA72E"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F2CF" w:themeColor="accent6" w:themeTint="34" w:fill="D8F2CF" w:themeFill="accent6" w:themeFillTint="34"/>
      </w:tcPr>
    </w:tblStylePr>
    <w:tblStylePr w:type="band1Horz">
      <w:rPr>
        <w:rFonts w:ascii="Arial" w:hAnsi="Arial"/>
        <w:color w:val="404040"/>
        <w:sz w:val="22"/>
      </w:rPr>
      <w:tblPr/>
      <w:tcPr>
        <w:shd w:val="clear" w:color="D8F2CF" w:themeColor="accent6" w:themeTint="34" w:fill="D8F2CF" w:themeFill="accent6" w:themeFillTint="34"/>
      </w:tcPr>
    </w:tblStylePr>
  </w:style>
  <w:style w:type="table" w:styleId="Gitternetztabelle5dunkel">
    <w:name w:val="Grid Table 5 Dark"/>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E4F4" w:themeColor="accent1" w:themeTint="34" w:fill="BFE4F4" w:themeFill="accent1" w:themeFillTint="34"/>
    </w:tblPr>
    <w:tblStylePr w:type="firstRow">
      <w:rPr>
        <w:rFonts w:ascii="Arial" w:hAnsi="Arial"/>
        <w:b/>
        <w:color w:val="FFFFFF"/>
        <w:sz w:val="22"/>
      </w:rPr>
      <w:tblPr/>
      <w:tcPr>
        <w:shd w:val="clear" w:color="156082" w:themeColor="accent1" w:fill="156082" w:themeFill="accent1"/>
      </w:tcPr>
    </w:tblStylePr>
    <w:tblStylePr w:type="lastRow">
      <w:rPr>
        <w:rFonts w:ascii="Arial" w:hAnsi="Arial"/>
        <w:b/>
        <w:color w:val="FFFFFF"/>
        <w:sz w:val="22"/>
      </w:rPr>
      <w:tblPr/>
      <w:tcPr>
        <w:tcBorders>
          <w:top w:val="single" w:sz="4" w:space="0" w:color="FFFFFF" w:themeColor="light1"/>
        </w:tcBorders>
        <w:shd w:val="clear" w:color="156082" w:themeColor="accent1" w:fill="156082" w:themeFill="accent1"/>
      </w:tcPr>
    </w:tblStylePr>
    <w:tblStylePr w:type="firstCol">
      <w:rPr>
        <w:rFonts w:ascii="Arial" w:hAnsi="Arial"/>
        <w:b/>
        <w:color w:val="FFFFFF"/>
        <w:sz w:val="22"/>
      </w:rPr>
      <w:tblPr/>
      <w:tcPr>
        <w:shd w:val="clear" w:color="156082" w:themeColor="accent1" w:fill="156082" w:themeFill="accent1"/>
      </w:tcPr>
    </w:tblStylePr>
    <w:tblStylePr w:type="lastCol">
      <w:rPr>
        <w:rFonts w:ascii="Arial" w:hAnsi="Arial"/>
        <w:b/>
        <w:color w:val="FFFFFF"/>
        <w:sz w:val="22"/>
      </w:rPr>
      <w:tblPr/>
      <w:tcPr>
        <w:shd w:val="clear" w:color="156082" w:themeColor="accent1" w:fill="156082" w:themeFill="accent1"/>
      </w:tcPr>
    </w:tblStylePr>
    <w:tblStylePr w:type="band1Vert">
      <w:tblPr/>
      <w:tcPr>
        <w:shd w:val="clear" w:color="70C2E8" w:themeColor="accent1" w:themeTint="75" w:fill="70C2E8" w:themeFill="accent1" w:themeFillTint="75"/>
      </w:tcPr>
    </w:tblStylePr>
    <w:tblStylePr w:type="band1Horz">
      <w:tblPr/>
      <w:tcPr>
        <w:shd w:val="clear" w:color="70C2E8" w:themeColor="accent1" w:themeTint="75" w:fill="70C2E8" w:themeFill="accent1" w:themeFillTint="75"/>
      </w:tcPr>
    </w:tblStylePr>
  </w:style>
  <w:style w:type="table" w:customStyle="1" w:styleId="GridTable5Dark-Accent2">
    <w:name w:val="Grid Table 5 Dark - Accent 2"/>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AE2D6" w:themeColor="accent2" w:themeTint="32" w:fill="FAE2D6" w:themeFill="accent2" w:themeFillTint="32"/>
    </w:tblPr>
    <w:tblStylePr w:type="firstRow">
      <w:rPr>
        <w:rFonts w:ascii="Arial" w:hAnsi="Arial"/>
        <w:b/>
        <w:color w:val="FFFFFF"/>
        <w:sz w:val="22"/>
      </w:rPr>
      <w:tblPr/>
      <w:tcPr>
        <w:shd w:val="clear" w:color="E97132" w:themeColor="accent2" w:fill="E97132" w:themeFill="accent2"/>
      </w:tcPr>
    </w:tblStylePr>
    <w:tblStylePr w:type="lastRow">
      <w:rPr>
        <w:rFonts w:ascii="Arial" w:hAnsi="Arial"/>
        <w:b/>
        <w:color w:val="FFFFFF"/>
        <w:sz w:val="22"/>
      </w:rPr>
      <w:tblPr/>
      <w:tcPr>
        <w:tcBorders>
          <w:top w:val="single" w:sz="4" w:space="0" w:color="FFFFFF" w:themeColor="light1"/>
        </w:tcBorders>
        <w:shd w:val="clear" w:color="E97132" w:themeColor="accent2" w:fill="E97132" w:themeFill="accent2"/>
      </w:tcPr>
    </w:tblStylePr>
    <w:tblStylePr w:type="firstCol">
      <w:rPr>
        <w:rFonts w:ascii="Arial" w:hAnsi="Arial"/>
        <w:b/>
        <w:color w:val="FFFFFF"/>
        <w:sz w:val="22"/>
      </w:rPr>
      <w:tblPr/>
      <w:tcPr>
        <w:shd w:val="clear" w:color="E97132" w:themeColor="accent2" w:fill="E97132" w:themeFill="accent2"/>
      </w:tcPr>
    </w:tblStylePr>
    <w:tblStylePr w:type="lastCol">
      <w:rPr>
        <w:rFonts w:ascii="Arial" w:hAnsi="Arial"/>
        <w:b/>
        <w:color w:val="FFFFFF"/>
        <w:sz w:val="22"/>
      </w:rPr>
      <w:tblPr/>
      <w:tcPr>
        <w:shd w:val="clear" w:color="E97132" w:themeColor="accent2" w:fill="E97132" w:themeFill="accent2"/>
      </w:tcPr>
    </w:tblStylePr>
    <w:tblStylePr w:type="band1Vert">
      <w:tblPr/>
      <w:tcPr>
        <w:shd w:val="clear" w:color="F5BDA0" w:themeColor="accent2" w:themeTint="75" w:fill="F5BDA0" w:themeFill="accent2" w:themeFillTint="75"/>
      </w:tcPr>
    </w:tblStylePr>
    <w:tblStylePr w:type="band1Horz">
      <w:tblPr/>
      <w:tcPr>
        <w:shd w:val="clear" w:color="F5BDA0" w:themeColor="accent2" w:themeTint="75" w:fill="F5BDA0" w:themeFill="accent2" w:themeFillTint="75"/>
      </w:tcPr>
    </w:tblStylePr>
  </w:style>
  <w:style w:type="table" w:customStyle="1" w:styleId="GridTable5Dark-Accent3">
    <w:name w:val="Grid Table 5 Dark - Accent 3"/>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C0F0C6" w:themeColor="accent3" w:themeTint="34" w:fill="C0F0C6" w:themeFill="accent3" w:themeFillTint="34"/>
    </w:tblPr>
    <w:tblStylePr w:type="firstRow">
      <w:rPr>
        <w:rFonts w:ascii="Arial" w:hAnsi="Arial"/>
        <w:b/>
        <w:color w:val="FFFFFF"/>
        <w:sz w:val="22"/>
      </w:rPr>
      <w:tblPr/>
      <w:tcPr>
        <w:shd w:val="clear" w:color="196B24" w:themeColor="accent3" w:fill="196B24" w:themeFill="accent3"/>
      </w:tcPr>
    </w:tblStylePr>
    <w:tblStylePr w:type="lastRow">
      <w:rPr>
        <w:rFonts w:ascii="Arial" w:hAnsi="Arial"/>
        <w:b/>
        <w:color w:val="FFFFFF"/>
        <w:sz w:val="22"/>
      </w:rPr>
      <w:tblPr/>
      <w:tcPr>
        <w:tcBorders>
          <w:top w:val="single" w:sz="4" w:space="0" w:color="FFFFFF" w:themeColor="light1"/>
        </w:tcBorders>
        <w:shd w:val="clear" w:color="196B24" w:themeColor="accent3" w:fill="196B24" w:themeFill="accent3"/>
      </w:tcPr>
    </w:tblStylePr>
    <w:tblStylePr w:type="firstCol">
      <w:rPr>
        <w:rFonts w:ascii="Arial" w:hAnsi="Arial"/>
        <w:b/>
        <w:color w:val="FFFFFF"/>
        <w:sz w:val="22"/>
      </w:rPr>
      <w:tblPr/>
      <w:tcPr>
        <w:shd w:val="clear" w:color="196B24" w:themeColor="accent3" w:fill="196B24" w:themeFill="accent3"/>
      </w:tcPr>
    </w:tblStylePr>
    <w:tblStylePr w:type="lastCol">
      <w:rPr>
        <w:rFonts w:ascii="Arial" w:hAnsi="Arial"/>
        <w:b/>
        <w:color w:val="FFFFFF"/>
        <w:sz w:val="22"/>
      </w:rPr>
      <w:tblPr/>
      <w:tcPr>
        <w:shd w:val="clear" w:color="196B24" w:themeColor="accent3" w:fill="196B24" w:themeFill="accent3"/>
      </w:tcPr>
    </w:tblStylePr>
    <w:tblStylePr w:type="band1Vert">
      <w:tblPr/>
      <w:tcPr>
        <w:shd w:val="clear" w:color="72DE80" w:themeColor="accent3" w:themeTint="75" w:fill="72DE80" w:themeFill="accent3" w:themeFillTint="75"/>
      </w:tcPr>
    </w:tblStylePr>
    <w:tblStylePr w:type="band1Horz">
      <w:tblPr/>
      <w:tcPr>
        <w:shd w:val="clear" w:color="72DE80" w:themeColor="accent3" w:themeTint="75" w:fill="72DE80" w:themeFill="accent3" w:themeFillTint="75"/>
      </w:tcPr>
    </w:tblStylePr>
  </w:style>
  <w:style w:type="table" w:customStyle="1" w:styleId="GridTable5Dark-Accent4">
    <w:name w:val="Grid Table 5 Dark- Accent 4"/>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C9EDFB" w:themeColor="accent4" w:themeTint="34" w:fill="C9EDFB" w:themeFill="accent4" w:themeFillTint="34"/>
    </w:tblPr>
    <w:tblStylePr w:type="firstRow">
      <w:rPr>
        <w:rFonts w:ascii="Arial" w:hAnsi="Arial"/>
        <w:b/>
        <w:color w:val="FFFFFF"/>
        <w:sz w:val="22"/>
      </w:rPr>
      <w:tblPr/>
      <w:tcPr>
        <w:shd w:val="clear" w:color="0F9ED5" w:themeColor="accent4" w:fill="0F9ED5" w:themeFill="accent4"/>
      </w:tcPr>
    </w:tblStylePr>
    <w:tblStylePr w:type="lastRow">
      <w:rPr>
        <w:rFonts w:ascii="Arial" w:hAnsi="Arial"/>
        <w:b/>
        <w:color w:val="FFFFFF"/>
        <w:sz w:val="22"/>
      </w:rPr>
      <w:tblPr/>
      <w:tcPr>
        <w:tcBorders>
          <w:top w:val="single" w:sz="4" w:space="0" w:color="FFFFFF" w:themeColor="light1"/>
        </w:tcBorders>
        <w:shd w:val="clear" w:color="0F9ED5" w:themeColor="accent4" w:fill="0F9ED5" w:themeFill="accent4"/>
      </w:tcPr>
    </w:tblStylePr>
    <w:tblStylePr w:type="firstCol">
      <w:rPr>
        <w:rFonts w:ascii="Arial" w:hAnsi="Arial"/>
        <w:b/>
        <w:color w:val="FFFFFF"/>
        <w:sz w:val="22"/>
      </w:rPr>
      <w:tblPr/>
      <w:tcPr>
        <w:shd w:val="clear" w:color="0F9ED5" w:themeColor="accent4" w:fill="0F9ED5" w:themeFill="accent4"/>
      </w:tcPr>
    </w:tblStylePr>
    <w:tblStylePr w:type="lastCol">
      <w:rPr>
        <w:rFonts w:ascii="Arial" w:hAnsi="Arial"/>
        <w:b/>
        <w:color w:val="FFFFFF"/>
        <w:sz w:val="22"/>
      </w:rPr>
      <w:tblPr/>
      <w:tcPr>
        <w:shd w:val="clear" w:color="0F9ED5" w:themeColor="accent4" w:fill="0F9ED5" w:themeFill="accent4"/>
      </w:tcPr>
    </w:tblStylePr>
    <w:tblStylePr w:type="band1Vert">
      <w:tblPr/>
      <w:tcPr>
        <w:shd w:val="clear" w:color="85D7F6" w:themeColor="accent4" w:themeTint="75" w:fill="85D7F6" w:themeFill="accent4" w:themeFillTint="75"/>
      </w:tcPr>
    </w:tblStylePr>
    <w:tblStylePr w:type="band1Horz">
      <w:tblPr/>
      <w:tcPr>
        <w:shd w:val="clear" w:color="85D7F6" w:themeColor="accent4" w:themeTint="75" w:fill="85D7F6" w:themeFill="accent4" w:themeFillTint="75"/>
      </w:tcPr>
    </w:tblStylePr>
  </w:style>
  <w:style w:type="table" w:customStyle="1" w:styleId="GridTable5Dark-Accent5">
    <w:name w:val="Grid Table 5 Dark - Accent 5"/>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1CDED" w:themeColor="accent5" w:themeTint="34" w:fill="F1CDED" w:themeFill="accent5" w:themeFillTint="34"/>
    </w:tblPr>
    <w:tblStylePr w:type="firstRow">
      <w:rPr>
        <w:rFonts w:ascii="Arial" w:hAnsi="Arial"/>
        <w:b/>
        <w:color w:val="FFFFFF"/>
        <w:sz w:val="22"/>
      </w:rPr>
      <w:tblPr/>
      <w:tcPr>
        <w:shd w:val="clear" w:color="A02B93" w:themeColor="accent5" w:fill="A02B93" w:themeFill="accent5"/>
      </w:tcPr>
    </w:tblStylePr>
    <w:tblStylePr w:type="lastRow">
      <w:rPr>
        <w:rFonts w:ascii="Arial" w:hAnsi="Arial"/>
        <w:b/>
        <w:color w:val="FFFFFF"/>
        <w:sz w:val="22"/>
      </w:rPr>
      <w:tblPr/>
      <w:tcPr>
        <w:tcBorders>
          <w:top w:val="single" w:sz="4" w:space="0" w:color="FFFFFF" w:themeColor="light1"/>
        </w:tcBorders>
        <w:shd w:val="clear" w:color="A02B93" w:themeColor="accent5" w:fill="A02B93" w:themeFill="accent5"/>
      </w:tcPr>
    </w:tblStylePr>
    <w:tblStylePr w:type="firstCol">
      <w:rPr>
        <w:rFonts w:ascii="Arial" w:hAnsi="Arial"/>
        <w:b/>
        <w:color w:val="FFFFFF"/>
        <w:sz w:val="22"/>
      </w:rPr>
      <w:tblPr/>
      <w:tcPr>
        <w:shd w:val="clear" w:color="A02B93" w:themeColor="accent5" w:fill="A02B93" w:themeFill="accent5"/>
      </w:tcPr>
    </w:tblStylePr>
    <w:tblStylePr w:type="lastCol">
      <w:rPr>
        <w:rFonts w:ascii="Arial" w:hAnsi="Arial"/>
        <w:b/>
        <w:color w:val="FFFFFF"/>
        <w:sz w:val="22"/>
      </w:rPr>
      <w:tblPr/>
      <w:tcPr>
        <w:shd w:val="clear" w:color="A02B93" w:themeColor="accent5" w:fill="A02B93" w:themeFill="accent5"/>
      </w:tcPr>
    </w:tblStylePr>
    <w:tblStylePr w:type="band1Vert">
      <w:tblPr/>
      <w:tcPr>
        <w:shd w:val="clear" w:color="E18FD7" w:themeColor="accent5" w:themeTint="75" w:fill="E18FD7" w:themeFill="accent5" w:themeFillTint="75"/>
      </w:tcPr>
    </w:tblStylePr>
    <w:tblStylePr w:type="band1Horz">
      <w:tblPr/>
      <w:tcPr>
        <w:shd w:val="clear" w:color="E18FD7" w:themeColor="accent5" w:themeTint="75" w:fill="E18FD7" w:themeFill="accent5" w:themeFillTint="75"/>
      </w:tcPr>
    </w:tblStylePr>
  </w:style>
  <w:style w:type="table" w:customStyle="1" w:styleId="GridTable5Dark-Accent6">
    <w:name w:val="Grid Table 5 Dark - Accent 6"/>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F2CF" w:themeColor="accent6" w:themeTint="34" w:fill="D8F2CF" w:themeFill="accent6" w:themeFillTint="34"/>
    </w:tblPr>
    <w:tblStylePr w:type="firstRow">
      <w:rPr>
        <w:rFonts w:ascii="Arial" w:hAnsi="Arial"/>
        <w:b/>
        <w:color w:val="FFFFFF"/>
        <w:sz w:val="22"/>
      </w:rPr>
      <w:tblPr/>
      <w:tcPr>
        <w:shd w:val="clear" w:color="4EA72E" w:themeColor="accent6" w:fill="4EA72E" w:themeFill="accent6"/>
      </w:tcPr>
    </w:tblStylePr>
    <w:tblStylePr w:type="lastRow">
      <w:rPr>
        <w:rFonts w:ascii="Arial" w:hAnsi="Arial"/>
        <w:b/>
        <w:color w:val="FFFFFF"/>
        <w:sz w:val="22"/>
      </w:rPr>
      <w:tblPr/>
      <w:tcPr>
        <w:tcBorders>
          <w:top w:val="single" w:sz="4" w:space="0" w:color="FFFFFF" w:themeColor="light1"/>
        </w:tcBorders>
        <w:shd w:val="clear" w:color="4EA72E" w:themeColor="accent6" w:fill="4EA72E" w:themeFill="accent6"/>
      </w:tcPr>
    </w:tblStylePr>
    <w:tblStylePr w:type="firstCol">
      <w:rPr>
        <w:rFonts w:ascii="Arial" w:hAnsi="Arial"/>
        <w:b/>
        <w:color w:val="FFFFFF"/>
        <w:sz w:val="22"/>
      </w:rPr>
      <w:tblPr/>
      <w:tcPr>
        <w:shd w:val="clear" w:color="4EA72E" w:themeColor="accent6" w:fill="4EA72E" w:themeFill="accent6"/>
      </w:tcPr>
    </w:tblStylePr>
    <w:tblStylePr w:type="lastCol">
      <w:rPr>
        <w:rFonts w:ascii="Arial" w:hAnsi="Arial"/>
        <w:b/>
        <w:color w:val="FFFFFF"/>
        <w:sz w:val="22"/>
      </w:rPr>
      <w:tblPr/>
      <w:tcPr>
        <w:shd w:val="clear" w:color="4EA72E" w:themeColor="accent6" w:fill="4EA72E" w:themeFill="accent6"/>
      </w:tcPr>
    </w:tblStylePr>
    <w:tblStylePr w:type="band1Vert">
      <w:tblPr/>
      <w:tcPr>
        <w:shd w:val="clear" w:color="A8E194" w:themeColor="accent6" w:themeTint="75" w:fill="A8E194" w:themeFill="accent6" w:themeFillTint="75"/>
      </w:tcPr>
    </w:tblStylePr>
    <w:tblStylePr w:type="band1Horz">
      <w:tblPr/>
      <w:tcPr>
        <w:shd w:val="clear" w:color="A8E194" w:themeColor="accent6" w:themeTint="75" w:fill="A8E194" w:themeFill="accent6" w:themeFillTint="75"/>
      </w:tcPr>
    </w:tblStylePr>
  </w:style>
  <w:style w:type="table" w:styleId="Gitternetztabelle6farbig">
    <w:name w:val="Grid Table 6 Colorful"/>
    <w:basedOn w:val="NormaleTabelle"/>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NormaleTabelle"/>
    <w:uiPriority w:val="99"/>
    <w:pPr>
      <w:spacing w:after="0" w:line="240" w:lineRule="auto"/>
    </w:pPr>
    <w:tblPr>
      <w:tblStyleRowBandSize w:val="1"/>
      <w:tblStyleColBandSize w:val="1"/>
      <w:tblBorders>
        <w:top w:val="single" w:sz="4" w:space="0" w:color="63BDE6" w:themeColor="accent1" w:themeTint="80"/>
        <w:left w:val="single" w:sz="4" w:space="0" w:color="63BDE6" w:themeColor="accent1" w:themeTint="80"/>
        <w:bottom w:val="single" w:sz="4" w:space="0" w:color="63BDE6" w:themeColor="accent1" w:themeTint="80"/>
        <w:right w:val="single" w:sz="4" w:space="0" w:color="63BDE6" w:themeColor="accent1" w:themeTint="80"/>
        <w:insideH w:val="single" w:sz="4" w:space="0" w:color="63BDE6" w:themeColor="accent1" w:themeTint="80"/>
        <w:insideV w:val="single" w:sz="4" w:space="0" w:color="63BDE6" w:themeColor="accent1" w:themeTint="80"/>
      </w:tblBorders>
    </w:tblPr>
    <w:tblStylePr w:type="firstRow">
      <w:rPr>
        <w:b/>
        <w:color w:val="63BDE6" w:themeColor="accent1" w:themeTint="80" w:themeShade="95"/>
      </w:rPr>
      <w:tblPr/>
      <w:tcPr>
        <w:tcBorders>
          <w:bottom w:val="single" w:sz="12" w:space="0" w:color="63BDE6" w:themeColor="accent1" w:themeTint="80"/>
        </w:tcBorders>
      </w:tcPr>
    </w:tblStylePr>
    <w:tblStylePr w:type="lastRow">
      <w:rPr>
        <w:b/>
        <w:color w:val="63BDE6" w:themeColor="accent1" w:themeTint="80" w:themeShade="95"/>
      </w:rPr>
    </w:tblStylePr>
    <w:tblStylePr w:type="firstCol">
      <w:rPr>
        <w:b/>
        <w:color w:val="63BDE6" w:themeColor="accent1" w:themeTint="80" w:themeShade="95"/>
      </w:rPr>
    </w:tblStylePr>
    <w:tblStylePr w:type="lastCol">
      <w:rPr>
        <w:b/>
        <w:color w:val="63BDE6" w:themeColor="accent1" w:themeTint="80" w:themeShade="95"/>
      </w:rPr>
    </w:tblStylePr>
    <w:tblStylePr w:type="band1Vert">
      <w:tblPr/>
      <w:tcPr>
        <w:shd w:val="clear" w:color="BFE4F4" w:themeColor="accent1" w:themeTint="34" w:fill="BFE4F4" w:themeFill="accent1" w:themeFillTint="34"/>
      </w:tcPr>
    </w:tblStylePr>
    <w:tblStylePr w:type="band1Horz">
      <w:rPr>
        <w:rFonts w:ascii="Arial" w:hAnsi="Arial"/>
        <w:color w:val="63BDE6" w:themeColor="accent1" w:themeTint="80" w:themeShade="95"/>
        <w:sz w:val="22"/>
      </w:rPr>
      <w:tblPr/>
      <w:tcPr>
        <w:shd w:val="clear" w:color="BFE4F4" w:themeColor="accent1" w:themeTint="34" w:fill="BFE4F4" w:themeFill="accent1" w:themeFillTint="34"/>
      </w:tcPr>
    </w:tblStylePr>
    <w:tblStylePr w:type="band2Horz">
      <w:rPr>
        <w:rFonts w:ascii="Arial" w:hAnsi="Arial"/>
        <w:color w:val="63BDE6" w:themeColor="accent1" w:themeTint="80" w:themeShade="95"/>
        <w:sz w:val="22"/>
      </w:rPr>
    </w:tblStylePr>
  </w:style>
  <w:style w:type="table" w:customStyle="1" w:styleId="GridTable6Colorful-Accent2">
    <w:name w:val="Grid Table 6 Colorful - Accent 2"/>
    <w:basedOn w:val="NormaleTabelle"/>
    <w:uiPriority w:val="99"/>
    <w:pPr>
      <w:spacing w:after="0" w:line="240" w:lineRule="auto"/>
    </w:pPr>
    <w:tblPr>
      <w:tblStyleRowBandSize w:val="1"/>
      <w:tblStyleColBandSize w:val="1"/>
      <w:tblBorders>
        <w:top w:val="single" w:sz="4" w:space="0" w:color="F2AA85" w:themeColor="accent2" w:themeTint="97"/>
        <w:left w:val="single" w:sz="4" w:space="0" w:color="F2AA85" w:themeColor="accent2" w:themeTint="97"/>
        <w:bottom w:val="single" w:sz="4" w:space="0" w:color="F2AA85" w:themeColor="accent2" w:themeTint="97"/>
        <w:right w:val="single" w:sz="4" w:space="0" w:color="F2AA85" w:themeColor="accent2" w:themeTint="97"/>
        <w:insideH w:val="single" w:sz="4" w:space="0" w:color="F2AA85" w:themeColor="accent2" w:themeTint="97"/>
        <w:insideV w:val="single" w:sz="4" w:space="0" w:color="F2AA85" w:themeColor="accent2" w:themeTint="97"/>
      </w:tblBorders>
    </w:tblPr>
    <w:tblStylePr w:type="firstRow">
      <w:rPr>
        <w:b/>
        <w:color w:val="F2AA85" w:themeColor="accent2" w:themeTint="97" w:themeShade="95"/>
      </w:rPr>
      <w:tblPr/>
      <w:tcPr>
        <w:tcBorders>
          <w:bottom w:val="single" w:sz="12" w:space="0" w:color="F2AA85" w:themeColor="accent2" w:themeTint="97"/>
        </w:tcBorders>
      </w:tcPr>
    </w:tblStylePr>
    <w:tblStylePr w:type="lastRow">
      <w:rPr>
        <w:b/>
        <w:color w:val="F2AA85" w:themeColor="accent2" w:themeTint="97" w:themeShade="95"/>
      </w:rPr>
    </w:tblStylePr>
    <w:tblStylePr w:type="firstCol">
      <w:rPr>
        <w:b/>
        <w:color w:val="F2AA85" w:themeColor="accent2" w:themeTint="97" w:themeShade="95"/>
      </w:rPr>
    </w:tblStylePr>
    <w:tblStylePr w:type="lastCol">
      <w:rPr>
        <w:b/>
        <w:color w:val="F2AA85" w:themeColor="accent2" w:themeTint="97" w:themeShade="95"/>
      </w:rPr>
    </w:tblStylePr>
    <w:tblStylePr w:type="band1Vert">
      <w:tblPr/>
      <w:tcPr>
        <w:shd w:val="clear" w:color="FAE2D6" w:themeColor="accent2" w:themeTint="32" w:fill="FAE2D6" w:themeFill="accent2" w:themeFillTint="32"/>
      </w:tcPr>
    </w:tblStylePr>
    <w:tblStylePr w:type="band1Horz">
      <w:rPr>
        <w:rFonts w:ascii="Arial" w:hAnsi="Arial"/>
        <w:color w:val="F2AA85" w:themeColor="accent2" w:themeTint="97" w:themeShade="95"/>
        <w:sz w:val="22"/>
      </w:rPr>
      <w:tblPr/>
      <w:tcPr>
        <w:shd w:val="clear" w:color="FAE2D6" w:themeColor="accent2" w:themeTint="32" w:fill="FAE2D6" w:themeFill="accent2" w:themeFillTint="32"/>
      </w:tcPr>
    </w:tblStylePr>
    <w:tblStylePr w:type="band2Horz">
      <w:rPr>
        <w:rFonts w:ascii="Arial" w:hAnsi="Arial"/>
        <w:color w:val="F2AA85" w:themeColor="accent2" w:themeTint="97" w:themeShade="95"/>
        <w:sz w:val="22"/>
      </w:rPr>
    </w:tblStylePr>
  </w:style>
  <w:style w:type="table" w:customStyle="1" w:styleId="GridTable6Colorful-Accent3">
    <w:name w:val="Grid Table 6 Colorful - Accent 3"/>
    <w:basedOn w:val="NormaleTabelle"/>
    <w:uiPriority w:val="99"/>
    <w:pPr>
      <w:spacing w:after="0" w:line="240" w:lineRule="auto"/>
    </w:pPr>
    <w:tblPr>
      <w:tblStyleRowBandSize w:val="1"/>
      <w:tblStyleColBandSize w:val="1"/>
      <w:tblBorders>
        <w:top w:val="single" w:sz="4" w:space="0" w:color="196C24" w:themeColor="accent3" w:themeTint="FE"/>
        <w:left w:val="single" w:sz="4" w:space="0" w:color="196C24" w:themeColor="accent3" w:themeTint="FE"/>
        <w:bottom w:val="single" w:sz="4" w:space="0" w:color="196C24" w:themeColor="accent3" w:themeTint="FE"/>
        <w:right w:val="single" w:sz="4" w:space="0" w:color="196C24" w:themeColor="accent3" w:themeTint="FE"/>
        <w:insideH w:val="single" w:sz="4" w:space="0" w:color="196C24" w:themeColor="accent3" w:themeTint="FE"/>
        <w:insideV w:val="single" w:sz="4" w:space="0" w:color="196C24" w:themeColor="accent3" w:themeTint="FE"/>
      </w:tblBorders>
    </w:tblPr>
    <w:tblStylePr w:type="firstRow">
      <w:rPr>
        <w:b/>
        <w:color w:val="196C24" w:themeColor="accent3" w:themeTint="FE" w:themeShade="95"/>
      </w:rPr>
      <w:tblPr/>
      <w:tcPr>
        <w:tcBorders>
          <w:bottom w:val="single" w:sz="12" w:space="0" w:color="196C24" w:themeColor="accent3" w:themeTint="FE"/>
        </w:tcBorders>
      </w:tcPr>
    </w:tblStylePr>
    <w:tblStylePr w:type="lastRow">
      <w:rPr>
        <w:b/>
        <w:color w:val="196C24" w:themeColor="accent3" w:themeTint="FE" w:themeShade="95"/>
      </w:rPr>
    </w:tblStylePr>
    <w:tblStylePr w:type="firstCol">
      <w:rPr>
        <w:b/>
        <w:color w:val="196C24" w:themeColor="accent3" w:themeTint="FE" w:themeShade="95"/>
      </w:rPr>
    </w:tblStylePr>
    <w:tblStylePr w:type="lastCol">
      <w:rPr>
        <w:b/>
        <w:color w:val="196C24" w:themeColor="accent3" w:themeTint="FE" w:themeShade="95"/>
      </w:rPr>
    </w:tblStylePr>
    <w:tblStylePr w:type="band1Vert">
      <w:tblPr/>
      <w:tcPr>
        <w:shd w:val="clear" w:color="C0F0C6" w:themeColor="accent3" w:themeTint="34" w:fill="C0F0C6" w:themeFill="accent3" w:themeFillTint="34"/>
      </w:tcPr>
    </w:tblStylePr>
    <w:tblStylePr w:type="band1Horz">
      <w:rPr>
        <w:rFonts w:ascii="Arial" w:hAnsi="Arial"/>
        <w:color w:val="196C24" w:themeColor="accent3" w:themeTint="FE" w:themeShade="95"/>
        <w:sz w:val="22"/>
      </w:rPr>
      <w:tblPr/>
      <w:tcPr>
        <w:shd w:val="clear" w:color="C0F0C6" w:themeColor="accent3" w:themeTint="34" w:fill="C0F0C6" w:themeFill="accent3" w:themeFillTint="34"/>
      </w:tcPr>
    </w:tblStylePr>
    <w:tblStylePr w:type="band2Horz">
      <w:rPr>
        <w:rFonts w:ascii="Arial" w:hAnsi="Arial"/>
        <w:color w:val="196C24" w:themeColor="accent3" w:themeTint="FE" w:themeShade="95"/>
        <w:sz w:val="22"/>
      </w:rPr>
    </w:tblStylePr>
  </w:style>
  <w:style w:type="table" w:customStyle="1" w:styleId="GridTable6Colorful-Accent4">
    <w:name w:val="Grid Table 6 Colorful - Accent 4"/>
    <w:basedOn w:val="NormaleTabelle"/>
    <w:uiPriority w:val="99"/>
    <w:pPr>
      <w:spacing w:after="0" w:line="240" w:lineRule="auto"/>
    </w:pPr>
    <w:tblPr>
      <w:tblStyleRowBandSize w:val="1"/>
      <w:tblStyleColBandSize w:val="1"/>
      <w:tblBorders>
        <w:top w:val="single" w:sz="4" w:space="0" w:color="5FCAF3" w:themeColor="accent4" w:themeTint="9A"/>
        <w:left w:val="single" w:sz="4" w:space="0" w:color="5FCAF3" w:themeColor="accent4" w:themeTint="9A"/>
        <w:bottom w:val="single" w:sz="4" w:space="0" w:color="5FCAF3" w:themeColor="accent4" w:themeTint="9A"/>
        <w:right w:val="single" w:sz="4" w:space="0" w:color="5FCAF3" w:themeColor="accent4" w:themeTint="9A"/>
        <w:insideH w:val="single" w:sz="4" w:space="0" w:color="5FCAF3" w:themeColor="accent4" w:themeTint="9A"/>
        <w:insideV w:val="single" w:sz="4" w:space="0" w:color="5FCAF3" w:themeColor="accent4" w:themeTint="9A"/>
      </w:tblBorders>
    </w:tblPr>
    <w:tblStylePr w:type="firstRow">
      <w:rPr>
        <w:b/>
        <w:color w:val="5FCAF3" w:themeColor="accent4" w:themeTint="9A" w:themeShade="95"/>
      </w:rPr>
      <w:tblPr/>
      <w:tcPr>
        <w:tcBorders>
          <w:bottom w:val="single" w:sz="12" w:space="0" w:color="5FCAF3" w:themeColor="accent4" w:themeTint="9A"/>
        </w:tcBorders>
      </w:tcPr>
    </w:tblStylePr>
    <w:tblStylePr w:type="lastRow">
      <w:rPr>
        <w:b/>
        <w:color w:val="5FCAF3" w:themeColor="accent4" w:themeTint="9A" w:themeShade="95"/>
      </w:rPr>
    </w:tblStylePr>
    <w:tblStylePr w:type="firstCol">
      <w:rPr>
        <w:b/>
        <w:color w:val="5FCAF3" w:themeColor="accent4" w:themeTint="9A" w:themeShade="95"/>
      </w:rPr>
    </w:tblStylePr>
    <w:tblStylePr w:type="lastCol">
      <w:rPr>
        <w:b/>
        <w:color w:val="5FCAF3" w:themeColor="accent4" w:themeTint="9A" w:themeShade="95"/>
      </w:rPr>
    </w:tblStylePr>
    <w:tblStylePr w:type="band1Vert">
      <w:tblPr/>
      <w:tcPr>
        <w:shd w:val="clear" w:color="C9EDFB" w:themeColor="accent4" w:themeTint="34" w:fill="C9EDFB" w:themeFill="accent4" w:themeFillTint="34"/>
      </w:tcPr>
    </w:tblStylePr>
    <w:tblStylePr w:type="band1Horz">
      <w:rPr>
        <w:rFonts w:ascii="Arial" w:hAnsi="Arial"/>
        <w:color w:val="5FCAF3" w:themeColor="accent4" w:themeTint="9A" w:themeShade="95"/>
        <w:sz w:val="22"/>
      </w:rPr>
      <w:tblPr/>
      <w:tcPr>
        <w:shd w:val="clear" w:color="C9EDFB" w:themeColor="accent4" w:themeTint="34" w:fill="C9EDFB" w:themeFill="accent4" w:themeFillTint="34"/>
      </w:tcPr>
    </w:tblStylePr>
    <w:tblStylePr w:type="band2Horz">
      <w:rPr>
        <w:rFonts w:ascii="Arial" w:hAnsi="Arial"/>
        <w:color w:val="5FCAF3" w:themeColor="accent4" w:themeTint="9A" w:themeShade="95"/>
        <w:sz w:val="22"/>
      </w:rPr>
    </w:tblStylePr>
  </w:style>
  <w:style w:type="table" w:customStyle="1" w:styleId="GridTable6Colorful-Accent5">
    <w:name w:val="Grid Table 6 Colorful - Accent 5"/>
    <w:basedOn w:val="NormaleTabelle"/>
    <w:uiPriority w:val="99"/>
    <w:pPr>
      <w:spacing w:after="0" w:line="240" w:lineRule="auto"/>
    </w:pPr>
    <w:tblPr>
      <w:tblStyleRowBandSize w:val="1"/>
      <w:tblStyleColBandSize w:val="1"/>
      <w:tblBorders>
        <w:top w:val="single" w:sz="4" w:space="0" w:color="A02B93" w:themeColor="accent5"/>
        <w:left w:val="single" w:sz="4" w:space="0" w:color="A02B93" w:themeColor="accent5"/>
        <w:bottom w:val="single" w:sz="4" w:space="0" w:color="A02B93" w:themeColor="accent5"/>
        <w:right w:val="single" w:sz="4" w:space="0" w:color="A02B93" w:themeColor="accent5"/>
        <w:insideH w:val="single" w:sz="4" w:space="0" w:color="A02B93" w:themeColor="accent5"/>
        <w:insideV w:val="single" w:sz="4" w:space="0" w:color="A02B93" w:themeColor="accent5"/>
      </w:tblBorders>
    </w:tblPr>
    <w:tblStylePr w:type="firstRow">
      <w:rPr>
        <w:b/>
        <w:color w:val="5D1955" w:themeColor="accent5" w:themeShade="95"/>
      </w:rPr>
      <w:tblPr/>
      <w:tcPr>
        <w:tcBorders>
          <w:bottom w:val="single" w:sz="12" w:space="0" w:color="A02B93" w:themeColor="accent5"/>
        </w:tcBorders>
      </w:tcPr>
    </w:tblStylePr>
    <w:tblStylePr w:type="lastRow">
      <w:rPr>
        <w:b/>
        <w:color w:val="5D1955" w:themeColor="accent5" w:themeShade="95"/>
      </w:rPr>
    </w:tblStylePr>
    <w:tblStylePr w:type="firstCol">
      <w:rPr>
        <w:b/>
        <w:color w:val="5D1955" w:themeColor="accent5" w:themeShade="95"/>
      </w:rPr>
    </w:tblStylePr>
    <w:tblStylePr w:type="lastCol">
      <w:rPr>
        <w:b/>
        <w:color w:val="5D1955" w:themeColor="accent5" w:themeShade="95"/>
      </w:rPr>
    </w:tblStylePr>
    <w:tblStylePr w:type="band1Vert">
      <w:tblPr/>
      <w:tcPr>
        <w:shd w:val="clear" w:color="F1CDED" w:themeColor="accent5" w:themeTint="34" w:fill="F1CDED" w:themeFill="accent5" w:themeFillTint="34"/>
      </w:tcPr>
    </w:tblStylePr>
    <w:tblStylePr w:type="band1Horz">
      <w:rPr>
        <w:rFonts w:ascii="Arial" w:hAnsi="Arial"/>
        <w:color w:val="5D1955" w:themeColor="accent5" w:themeShade="95"/>
        <w:sz w:val="22"/>
      </w:rPr>
      <w:tblPr/>
      <w:tcPr>
        <w:shd w:val="clear" w:color="F1CDED" w:themeColor="accent5" w:themeTint="34" w:fill="F1CDED" w:themeFill="accent5" w:themeFillTint="34"/>
      </w:tcPr>
    </w:tblStylePr>
    <w:tblStylePr w:type="band2Horz">
      <w:rPr>
        <w:rFonts w:ascii="Arial" w:hAnsi="Arial"/>
        <w:color w:val="5D1955" w:themeColor="accent5" w:themeShade="95"/>
        <w:sz w:val="22"/>
      </w:rPr>
    </w:tblStylePr>
  </w:style>
  <w:style w:type="table" w:customStyle="1" w:styleId="GridTable6Colorful-Accent6">
    <w:name w:val="Grid Table 6 Colorful - Accent 6"/>
    <w:basedOn w:val="NormaleTabelle"/>
    <w:uiPriority w:val="99"/>
    <w:pPr>
      <w:spacing w:after="0" w:line="240" w:lineRule="auto"/>
    </w:pPr>
    <w:tblPr>
      <w:tblStyleRowBandSize w:val="1"/>
      <w:tblStyleColBandSize w:val="1"/>
      <w:tblBorders>
        <w:top w:val="single" w:sz="4" w:space="0" w:color="4EA72E" w:themeColor="accent6"/>
        <w:left w:val="single" w:sz="4" w:space="0" w:color="4EA72E" w:themeColor="accent6"/>
        <w:bottom w:val="single" w:sz="4" w:space="0" w:color="4EA72E" w:themeColor="accent6"/>
        <w:right w:val="single" w:sz="4" w:space="0" w:color="4EA72E" w:themeColor="accent6"/>
        <w:insideH w:val="single" w:sz="4" w:space="0" w:color="4EA72E" w:themeColor="accent6"/>
        <w:insideV w:val="single" w:sz="4" w:space="0" w:color="4EA72E" w:themeColor="accent6"/>
      </w:tblBorders>
    </w:tblPr>
    <w:tblStylePr w:type="firstRow">
      <w:rPr>
        <w:b/>
        <w:color w:val="5D1955" w:themeColor="accent5" w:themeShade="95"/>
      </w:rPr>
      <w:tblPr/>
      <w:tcPr>
        <w:tcBorders>
          <w:bottom w:val="single" w:sz="12" w:space="0" w:color="4EA72E" w:themeColor="accent6"/>
        </w:tcBorders>
      </w:tcPr>
    </w:tblStylePr>
    <w:tblStylePr w:type="lastRow">
      <w:rPr>
        <w:b/>
        <w:color w:val="5D1955" w:themeColor="accent5" w:themeShade="95"/>
      </w:rPr>
    </w:tblStylePr>
    <w:tblStylePr w:type="firstCol">
      <w:rPr>
        <w:b/>
        <w:color w:val="5D1955" w:themeColor="accent5" w:themeShade="95"/>
      </w:rPr>
    </w:tblStylePr>
    <w:tblStylePr w:type="lastCol">
      <w:rPr>
        <w:b/>
        <w:color w:val="5D1955" w:themeColor="accent5" w:themeShade="95"/>
      </w:rPr>
    </w:tblStylePr>
    <w:tblStylePr w:type="band1Vert">
      <w:tblPr/>
      <w:tcPr>
        <w:shd w:val="clear" w:color="D8F2CF" w:themeColor="accent6" w:themeTint="34" w:fill="D8F2CF" w:themeFill="accent6" w:themeFillTint="34"/>
      </w:tcPr>
    </w:tblStylePr>
    <w:tblStylePr w:type="band1Horz">
      <w:rPr>
        <w:rFonts w:ascii="Arial" w:hAnsi="Arial"/>
        <w:color w:val="5D1955" w:themeColor="accent5" w:themeShade="95"/>
        <w:sz w:val="22"/>
      </w:rPr>
      <w:tblPr/>
      <w:tcPr>
        <w:shd w:val="clear" w:color="D8F2CF" w:themeColor="accent6" w:themeTint="34" w:fill="D8F2CF" w:themeFill="accent6" w:themeFillTint="34"/>
      </w:tcPr>
    </w:tblStylePr>
    <w:tblStylePr w:type="band2Horz">
      <w:rPr>
        <w:rFonts w:ascii="Arial" w:hAnsi="Arial"/>
        <w:color w:val="5D1955" w:themeColor="accent5" w:themeShade="95"/>
        <w:sz w:val="22"/>
      </w:rPr>
    </w:tblStylePr>
  </w:style>
  <w:style w:type="table" w:styleId="Gitternetztabelle7farbig">
    <w:name w:val="Grid Table 7 Colorful"/>
    <w:basedOn w:val="NormaleTabelle"/>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NormaleTabelle"/>
    <w:uiPriority w:val="99"/>
    <w:pPr>
      <w:spacing w:after="0" w:line="240" w:lineRule="auto"/>
    </w:pPr>
    <w:tblPr>
      <w:tblStyleRowBandSize w:val="1"/>
      <w:tblStyleColBandSize w:val="1"/>
      <w:tblBorders>
        <w:bottom w:val="single" w:sz="4" w:space="0" w:color="63BDE6" w:themeColor="accent1" w:themeTint="80"/>
        <w:right w:val="single" w:sz="4" w:space="0" w:color="63BDE6" w:themeColor="accent1" w:themeTint="80"/>
        <w:insideH w:val="single" w:sz="4" w:space="0" w:color="63BDE6" w:themeColor="accent1" w:themeTint="80"/>
        <w:insideV w:val="single" w:sz="4" w:space="0" w:color="63BDE6" w:themeColor="accent1" w:themeTint="80"/>
      </w:tblBorders>
    </w:tblPr>
    <w:tblStylePr w:type="firstRow">
      <w:rPr>
        <w:rFonts w:ascii="Arial" w:hAnsi="Arial"/>
        <w:b/>
        <w:color w:val="63BDE6" w:themeColor="accent1" w:themeTint="80" w:themeShade="95"/>
        <w:sz w:val="22"/>
      </w:rPr>
      <w:tblPr/>
      <w:tcPr>
        <w:tcBorders>
          <w:top w:val="none" w:sz="4" w:space="0" w:color="000000"/>
          <w:left w:val="none" w:sz="4" w:space="0" w:color="000000"/>
          <w:bottom w:val="single" w:sz="4" w:space="0" w:color="63BDE6" w:themeColor="accent1" w:themeTint="80"/>
          <w:right w:val="none" w:sz="4" w:space="0" w:color="000000"/>
        </w:tcBorders>
        <w:shd w:val="clear" w:color="FFFFFF" w:themeColor="light1" w:fill="FFFFFF" w:themeFill="light1"/>
      </w:tcPr>
    </w:tblStylePr>
    <w:tblStylePr w:type="lastRow">
      <w:rPr>
        <w:rFonts w:ascii="Arial" w:hAnsi="Arial"/>
        <w:b/>
        <w:color w:val="63BDE6" w:themeColor="accent1" w:themeTint="80" w:themeShade="95"/>
        <w:sz w:val="22"/>
      </w:rPr>
      <w:tblPr/>
      <w:tcPr>
        <w:tcBorders>
          <w:top w:val="single" w:sz="4" w:space="0" w:color="63BDE6"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63BDE6" w:themeColor="accent1" w:themeTint="80" w:themeShade="95"/>
        <w:sz w:val="22"/>
      </w:rPr>
      <w:tblPr/>
      <w:tcPr>
        <w:tcBorders>
          <w:top w:val="none" w:sz="4" w:space="0" w:color="000000"/>
          <w:left w:val="none" w:sz="4" w:space="0" w:color="000000"/>
          <w:bottom w:val="none" w:sz="4" w:space="0" w:color="000000"/>
          <w:right w:val="single" w:sz="4" w:space="0" w:color="63BDE6" w:themeColor="accent1" w:themeTint="80"/>
        </w:tcBorders>
        <w:shd w:val="clear" w:color="FFFFFF" w:fill="auto"/>
      </w:tcPr>
    </w:tblStylePr>
    <w:tblStylePr w:type="lastCol">
      <w:rPr>
        <w:rFonts w:ascii="Arial" w:hAnsi="Arial"/>
        <w:i/>
        <w:color w:val="63BDE6" w:themeColor="accent1" w:themeTint="80" w:themeShade="95"/>
        <w:sz w:val="22"/>
      </w:rPr>
      <w:tblPr/>
      <w:tcPr>
        <w:tcBorders>
          <w:top w:val="none" w:sz="4" w:space="0" w:color="000000"/>
          <w:left w:val="single" w:sz="4" w:space="0" w:color="63BDE6" w:themeColor="accent1" w:themeTint="80"/>
          <w:bottom w:val="none" w:sz="4" w:space="0" w:color="000000"/>
          <w:right w:val="none" w:sz="4" w:space="0" w:color="000000"/>
        </w:tcBorders>
        <w:shd w:val="clear" w:color="FFFFFF" w:fill="auto"/>
      </w:tcPr>
    </w:tblStylePr>
    <w:tblStylePr w:type="band1Vert">
      <w:tblPr/>
      <w:tcPr>
        <w:shd w:val="clear" w:color="BFE4F4" w:themeColor="accent1" w:themeTint="34" w:fill="BFE4F4" w:themeFill="accent1" w:themeFillTint="34"/>
      </w:tcPr>
    </w:tblStylePr>
    <w:tblStylePr w:type="band1Horz">
      <w:rPr>
        <w:rFonts w:ascii="Arial" w:hAnsi="Arial"/>
        <w:color w:val="63BDE6" w:themeColor="accent1" w:themeTint="80" w:themeShade="95"/>
        <w:sz w:val="22"/>
      </w:rPr>
      <w:tblPr/>
      <w:tcPr>
        <w:shd w:val="clear" w:color="BFE4F4" w:themeColor="accent1" w:themeTint="34" w:fill="BFE4F4" w:themeFill="accent1" w:themeFillTint="34"/>
      </w:tcPr>
    </w:tblStylePr>
    <w:tblStylePr w:type="band2Horz">
      <w:rPr>
        <w:rFonts w:ascii="Arial" w:hAnsi="Arial"/>
        <w:color w:val="63BDE6" w:themeColor="accent1" w:themeTint="80" w:themeShade="95"/>
        <w:sz w:val="22"/>
      </w:rPr>
    </w:tblStylePr>
  </w:style>
  <w:style w:type="table" w:customStyle="1" w:styleId="GridTable7Colorful-Accent2">
    <w:name w:val="Grid Table 7 Colorful - Accent 2"/>
    <w:basedOn w:val="NormaleTabelle"/>
    <w:uiPriority w:val="99"/>
    <w:pPr>
      <w:spacing w:after="0" w:line="240" w:lineRule="auto"/>
    </w:pPr>
    <w:tblPr>
      <w:tblStyleRowBandSize w:val="1"/>
      <w:tblStyleColBandSize w:val="1"/>
      <w:tblBorders>
        <w:bottom w:val="single" w:sz="4" w:space="0" w:color="F2AA85" w:themeColor="accent2" w:themeTint="97"/>
        <w:right w:val="single" w:sz="4" w:space="0" w:color="F2AA85" w:themeColor="accent2" w:themeTint="97"/>
        <w:insideH w:val="single" w:sz="4" w:space="0" w:color="F2AA85" w:themeColor="accent2" w:themeTint="97"/>
        <w:insideV w:val="single" w:sz="4" w:space="0" w:color="F2AA85" w:themeColor="accent2" w:themeTint="97"/>
      </w:tblBorders>
    </w:tblPr>
    <w:tblStylePr w:type="firstRow">
      <w:rPr>
        <w:rFonts w:ascii="Arial" w:hAnsi="Arial"/>
        <w:b/>
        <w:color w:val="F2AA85" w:themeColor="accent2" w:themeTint="97" w:themeShade="95"/>
        <w:sz w:val="22"/>
      </w:rPr>
      <w:tblPr/>
      <w:tcPr>
        <w:tcBorders>
          <w:top w:val="none" w:sz="4" w:space="0" w:color="000000"/>
          <w:left w:val="none" w:sz="4" w:space="0" w:color="000000"/>
          <w:bottom w:val="single" w:sz="4" w:space="0" w:color="F2AA85" w:themeColor="accent2" w:themeTint="97"/>
          <w:right w:val="none" w:sz="4" w:space="0" w:color="000000"/>
        </w:tcBorders>
        <w:shd w:val="clear" w:color="FFFFFF" w:themeColor="light1" w:fill="FFFFFF" w:themeFill="light1"/>
      </w:tcPr>
    </w:tblStylePr>
    <w:tblStylePr w:type="lastRow">
      <w:rPr>
        <w:rFonts w:ascii="Arial" w:hAnsi="Arial"/>
        <w:b/>
        <w:color w:val="F2AA85" w:themeColor="accent2" w:themeTint="97" w:themeShade="95"/>
        <w:sz w:val="22"/>
      </w:rPr>
      <w:tblPr/>
      <w:tcPr>
        <w:tcBorders>
          <w:top w:val="single" w:sz="4" w:space="0" w:color="F2AA8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2AA85" w:themeColor="accent2" w:themeTint="97" w:themeShade="95"/>
        <w:sz w:val="22"/>
      </w:rPr>
      <w:tblPr/>
      <w:tcPr>
        <w:tcBorders>
          <w:top w:val="none" w:sz="4" w:space="0" w:color="000000"/>
          <w:left w:val="none" w:sz="4" w:space="0" w:color="000000"/>
          <w:bottom w:val="none" w:sz="4" w:space="0" w:color="000000"/>
          <w:right w:val="single" w:sz="4" w:space="0" w:color="F2AA85" w:themeColor="accent2" w:themeTint="97"/>
        </w:tcBorders>
        <w:shd w:val="clear" w:color="FFFFFF" w:fill="auto"/>
      </w:tcPr>
    </w:tblStylePr>
    <w:tblStylePr w:type="lastCol">
      <w:rPr>
        <w:rFonts w:ascii="Arial" w:hAnsi="Arial"/>
        <w:i/>
        <w:color w:val="F2AA85" w:themeColor="accent2" w:themeTint="97" w:themeShade="95"/>
        <w:sz w:val="22"/>
      </w:rPr>
      <w:tblPr/>
      <w:tcPr>
        <w:tcBorders>
          <w:top w:val="none" w:sz="4" w:space="0" w:color="000000"/>
          <w:left w:val="single" w:sz="4" w:space="0" w:color="F2AA85" w:themeColor="accent2" w:themeTint="97"/>
          <w:bottom w:val="none" w:sz="4" w:space="0" w:color="000000"/>
          <w:right w:val="none" w:sz="4" w:space="0" w:color="000000"/>
        </w:tcBorders>
        <w:shd w:val="clear" w:color="FFFFFF" w:fill="auto"/>
      </w:tcPr>
    </w:tblStylePr>
    <w:tblStylePr w:type="band1Vert">
      <w:tblPr/>
      <w:tcPr>
        <w:shd w:val="clear" w:color="FAE2D6" w:themeColor="accent2" w:themeTint="32" w:fill="FAE2D6" w:themeFill="accent2" w:themeFillTint="32"/>
      </w:tcPr>
    </w:tblStylePr>
    <w:tblStylePr w:type="band1Horz">
      <w:rPr>
        <w:rFonts w:ascii="Arial" w:hAnsi="Arial"/>
        <w:color w:val="F2AA85" w:themeColor="accent2" w:themeTint="97" w:themeShade="95"/>
        <w:sz w:val="22"/>
      </w:rPr>
      <w:tblPr/>
      <w:tcPr>
        <w:shd w:val="clear" w:color="FAE2D6" w:themeColor="accent2" w:themeTint="32" w:fill="FAE2D6" w:themeFill="accent2" w:themeFillTint="32"/>
      </w:tcPr>
    </w:tblStylePr>
    <w:tblStylePr w:type="band2Horz">
      <w:rPr>
        <w:rFonts w:ascii="Arial" w:hAnsi="Arial"/>
        <w:color w:val="F2AA85" w:themeColor="accent2" w:themeTint="97" w:themeShade="95"/>
        <w:sz w:val="22"/>
      </w:rPr>
    </w:tblStylePr>
  </w:style>
  <w:style w:type="table" w:customStyle="1" w:styleId="GridTable7Colorful-Accent3">
    <w:name w:val="Grid Table 7 Colorful - Accent 3"/>
    <w:basedOn w:val="NormaleTabelle"/>
    <w:uiPriority w:val="99"/>
    <w:pPr>
      <w:spacing w:after="0" w:line="240" w:lineRule="auto"/>
    </w:pPr>
    <w:tblPr>
      <w:tblStyleRowBandSize w:val="1"/>
      <w:tblStyleColBandSize w:val="1"/>
      <w:tblBorders>
        <w:bottom w:val="single" w:sz="4" w:space="0" w:color="196C24" w:themeColor="accent3" w:themeTint="FE"/>
        <w:right w:val="single" w:sz="4" w:space="0" w:color="196C24" w:themeColor="accent3" w:themeTint="FE"/>
        <w:insideH w:val="single" w:sz="4" w:space="0" w:color="196C24" w:themeColor="accent3" w:themeTint="FE"/>
        <w:insideV w:val="single" w:sz="4" w:space="0" w:color="196C24" w:themeColor="accent3" w:themeTint="FE"/>
      </w:tblBorders>
    </w:tblPr>
    <w:tblStylePr w:type="firstRow">
      <w:rPr>
        <w:rFonts w:ascii="Arial" w:hAnsi="Arial"/>
        <w:b/>
        <w:color w:val="196C24" w:themeColor="accent3" w:themeTint="FE" w:themeShade="95"/>
        <w:sz w:val="22"/>
      </w:rPr>
      <w:tblPr/>
      <w:tcPr>
        <w:tcBorders>
          <w:top w:val="none" w:sz="4" w:space="0" w:color="000000"/>
          <w:left w:val="none" w:sz="4" w:space="0" w:color="000000"/>
          <w:bottom w:val="single" w:sz="4" w:space="0" w:color="196C24" w:themeColor="accent3" w:themeTint="FE"/>
          <w:right w:val="none" w:sz="4" w:space="0" w:color="000000"/>
        </w:tcBorders>
        <w:shd w:val="clear" w:color="FFFFFF" w:themeColor="light1" w:fill="FFFFFF" w:themeFill="light1"/>
      </w:tcPr>
    </w:tblStylePr>
    <w:tblStylePr w:type="lastRow">
      <w:rPr>
        <w:rFonts w:ascii="Arial" w:hAnsi="Arial"/>
        <w:b/>
        <w:color w:val="196C24" w:themeColor="accent3" w:themeTint="FE" w:themeShade="95"/>
        <w:sz w:val="22"/>
      </w:rPr>
      <w:tblPr/>
      <w:tcPr>
        <w:tcBorders>
          <w:top w:val="single" w:sz="4" w:space="0" w:color="196C24"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196C24" w:themeColor="accent3" w:themeTint="FE" w:themeShade="95"/>
        <w:sz w:val="22"/>
      </w:rPr>
      <w:tblPr/>
      <w:tcPr>
        <w:tcBorders>
          <w:top w:val="none" w:sz="4" w:space="0" w:color="000000"/>
          <w:left w:val="none" w:sz="4" w:space="0" w:color="000000"/>
          <w:bottom w:val="none" w:sz="4" w:space="0" w:color="000000"/>
          <w:right w:val="single" w:sz="4" w:space="0" w:color="196C24" w:themeColor="accent3" w:themeTint="FE"/>
        </w:tcBorders>
        <w:shd w:val="clear" w:color="FFFFFF" w:fill="auto"/>
      </w:tcPr>
    </w:tblStylePr>
    <w:tblStylePr w:type="lastCol">
      <w:rPr>
        <w:rFonts w:ascii="Arial" w:hAnsi="Arial"/>
        <w:i/>
        <w:color w:val="196C24" w:themeColor="accent3" w:themeTint="FE" w:themeShade="95"/>
        <w:sz w:val="22"/>
      </w:rPr>
      <w:tblPr/>
      <w:tcPr>
        <w:tcBorders>
          <w:top w:val="none" w:sz="4" w:space="0" w:color="000000"/>
          <w:left w:val="single" w:sz="4" w:space="0" w:color="196C24" w:themeColor="accent3" w:themeTint="FE"/>
          <w:bottom w:val="none" w:sz="4" w:space="0" w:color="000000"/>
          <w:right w:val="none" w:sz="4" w:space="0" w:color="000000"/>
        </w:tcBorders>
        <w:shd w:val="clear" w:color="FFFFFF" w:fill="auto"/>
      </w:tcPr>
    </w:tblStylePr>
    <w:tblStylePr w:type="band1Vert">
      <w:tblPr/>
      <w:tcPr>
        <w:shd w:val="clear" w:color="C0F0C6" w:themeColor="accent3" w:themeTint="34" w:fill="C0F0C6" w:themeFill="accent3" w:themeFillTint="34"/>
      </w:tcPr>
    </w:tblStylePr>
    <w:tblStylePr w:type="band1Horz">
      <w:rPr>
        <w:rFonts w:ascii="Arial" w:hAnsi="Arial"/>
        <w:color w:val="196C24" w:themeColor="accent3" w:themeTint="FE" w:themeShade="95"/>
        <w:sz w:val="22"/>
      </w:rPr>
      <w:tblPr/>
      <w:tcPr>
        <w:shd w:val="clear" w:color="C0F0C6" w:themeColor="accent3" w:themeTint="34" w:fill="C0F0C6" w:themeFill="accent3" w:themeFillTint="34"/>
      </w:tcPr>
    </w:tblStylePr>
    <w:tblStylePr w:type="band2Horz">
      <w:rPr>
        <w:rFonts w:ascii="Arial" w:hAnsi="Arial"/>
        <w:color w:val="196C24" w:themeColor="accent3" w:themeTint="FE" w:themeShade="95"/>
        <w:sz w:val="22"/>
      </w:rPr>
    </w:tblStylePr>
  </w:style>
  <w:style w:type="table" w:customStyle="1" w:styleId="GridTable7Colorful-Accent4">
    <w:name w:val="Grid Table 7 Colorful - Accent 4"/>
    <w:basedOn w:val="NormaleTabelle"/>
    <w:uiPriority w:val="99"/>
    <w:pPr>
      <w:spacing w:after="0" w:line="240" w:lineRule="auto"/>
    </w:pPr>
    <w:tblPr>
      <w:tblStyleRowBandSize w:val="1"/>
      <w:tblStyleColBandSize w:val="1"/>
      <w:tblBorders>
        <w:bottom w:val="single" w:sz="4" w:space="0" w:color="5FCAF3" w:themeColor="accent4" w:themeTint="9A"/>
        <w:right w:val="single" w:sz="4" w:space="0" w:color="5FCAF3" w:themeColor="accent4" w:themeTint="9A"/>
        <w:insideH w:val="single" w:sz="4" w:space="0" w:color="5FCAF3" w:themeColor="accent4" w:themeTint="9A"/>
        <w:insideV w:val="single" w:sz="4" w:space="0" w:color="5FCAF3" w:themeColor="accent4" w:themeTint="9A"/>
      </w:tblBorders>
    </w:tblPr>
    <w:tblStylePr w:type="firstRow">
      <w:rPr>
        <w:rFonts w:ascii="Arial" w:hAnsi="Arial"/>
        <w:b/>
        <w:color w:val="5FCAF3" w:themeColor="accent4" w:themeTint="9A" w:themeShade="95"/>
        <w:sz w:val="22"/>
      </w:rPr>
      <w:tblPr/>
      <w:tcPr>
        <w:tcBorders>
          <w:top w:val="none" w:sz="4" w:space="0" w:color="000000"/>
          <w:left w:val="none" w:sz="4" w:space="0" w:color="000000"/>
          <w:bottom w:val="single" w:sz="4" w:space="0" w:color="5FCAF3" w:themeColor="accent4" w:themeTint="9A"/>
          <w:right w:val="none" w:sz="4" w:space="0" w:color="000000"/>
        </w:tcBorders>
        <w:shd w:val="clear" w:color="FFFFFF" w:themeColor="light1" w:fill="FFFFFF" w:themeFill="light1"/>
      </w:tcPr>
    </w:tblStylePr>
    <w:tblStylePr w:type="lastRow">
      <w:rPr>
        <w:rFonts w:ascii="Arial" w:hAnsi="Arial"/>
        <w:b/>
        <w:color w:val="5FCAF3" w:themeColor="accent4" w:themeTint="9A" w:themeShade="95"/>
        <w:sz w:val="22"/>
      </w:rPr>
      <w:tblPr/>
      <w:tcPr>
        <w:tcBorders>
          <w:top w:val="single" w:sz="4" w:space="0" w:color="5FCAF3"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5FCAF3" w:themeColor="accent4" w:themeTint="9A" w:themeShade="95"/>
        <w:sz w:val="22"/>
      </w:rPr>
      <w:tblPr/>
      <w:tcPr>
        <w:tcBorders>
          <w:top w:val="none" w:sz="4" w:space="0" w:color="000000"/>
          <w:left w:val="none" w:sz="4" w:space="0" w:color="000000"/>
          <w:bottom w:val="none" w:sz="4" w:space="0" w:color="000000"/>
          <w:right w:val="single" w:sz="4" w:space="0" w:color="5FCAF3" w:themeColor="accent4" w:themeTint="9A"/>
        </w:tcBorders>
        <w:shd w:val="clear" w:color="FFFFFF" w:fill="auto"/>
      </w:tcPr>
    </w:tblStylePr>
    <w:tblStylePr w:type="lastCol">
      <w:rPr>
        <w:rFonts w:ascii="Arial" w:hAnsi="Arial"/>
        <w:i/>
        <w:color w:val="5FCAF3" w:themeColor="accent4" w:themeTint="9A" w:themeShade="95"/>
        <w:sz w:val="22"/>
      </w:rPr>
      <w:tblPr/>
      <w:tcPr>
        <w:tcBorders>
          <w:top w:val="none" w:sz="4" w:space="0" w:color="000000"/>
          <w:left w:val="single" w:sz="4" w:space="0" w:color="5FCAF3" w:themeColor="accent4" w:themeTint="9A"/>
          <w:bottom w:val="none" w:sz="4" w:space="0" w:color="000000"/>
          <w:right w:val="none" w:sz="4" w:space="0" w:color="000000"/>
        </w:tcBorders>
        <w:shd w:val="clear" w:color="FFFFFF" w:fill="auto"/>
      </w:tcPr>
    </w:tblStylePr>
    <w:tblStylePr w:type="band1Vert">
      <w:tblPr/>
      <w:tcPr>
        <w:shd w:val="clear" w:color="C9EDFB" w:themeColor="accent4" w:themeTint="34" w:fill="C9EDFB" w:themeFill="accent4" w:themeFillTint="34"/>
      </w:tcPr>
    </w:tblStylePr>
    <w:tblStylePr w:type="band1Horz">
      <w:rPr>
        <w:rFonts w:ascii="Arial" w:hAnsi="Arial"/>
        <w:color w:val="5FCAF3" w:themeColor="accent4" w:themeTint="9A" w:themeShade="95"/>
        <w:sz w:val="22"/>
      </w:rPr>
      <w:tblPr/>
      <w:tcPr>
        <w:shd w:val="clear" w:color="C9EDFB" w:themeColor="accent4" w:themeTint="34" w:fill="C9EDFB" w:themeFill="accent4" w:themeFillTint="34"/>
      </w:tcPr>
    </w:tblStylePr>
    <w:tblStylePr w:type="band2Horz">
      <w:rPr>
        <w:rFonts w:ascii="Arial" w:hAnsi="Arial"/>
        <w:color w:val="5FCAF3" w:themeColor="accent4" w:themeTint="9A" w:themeShade="95"/>
        <w:sz w:val="22"/>
      </w:rPr>
    </w:tblStylePr>
  </w:style>
  <w:style w:type="table" w:customStyle="1" w:styleId="GridTable7Colorful-Accent5">
    <w:name w:val="Grid Table 7 Colorful - Accent 5"/>
    <w:basedOn w:val="NormaleTabelle"/>
    <w:uiPriority w:val="99"/>
    <w:pPr>
      <w:spacing w:after="0" w:line="240" w:lineRule="auto"/>
    </w:pPr>
    <w:tblPr>
      <w:tblStyleRowBandSize w:val="1"/>
      <w:tblStyleColBandSize w:val="1"/>
      <w:tblBorders>
        <w:bottom w:val="single" w:sz="4" w:space="0" w:color="DA76CE" w:themeColor="accent5" w:themeTint="90"/>
        <w:right w:val="single" w:sz="4" w:space="0" w:color="DA76CE" w:themeColor="accent5" w:themeTint="90"/>
        <w:insideH w:val="single" w:sz="4" w:space="0" w:color="DA76CE" w:themeColor="accent5" w:themeTint="90"/>
        <w:insideV w:val="single" w:sz="4" w:space="0" w:color="DA76CE" w:themeColor="accent5" w:themeTint="90"/>
      </w:tblBorders>
    </w:tblPr>
    <w:tblStylePr w:type="firstRow">
      <w:rPr>
        <w:rFonts w:ascii="Arial" w:hAnsi="Arial"/>
        <w:b/>
        <w:color w:val="5D1955" w:themeColor="accent5" w:themeShade="95"/>
        <w:sz w:val="22"/>
      </w:rPr>
      <w:tblPr/>
      <w:tcPr>
        <w:tcBorders>
          <w:top w:val="none" w:sz="4" w:space="0" w:color="000000"/>
          <w:left w:val="none" w:sz="4" w:space="0" w:color="000000"/>
          <w:bottom w:val="single" w:sz="4" w:space="0" w:color="DA76CE" w:themeColor="accent5" w:themeTint="90"/>
          <w:right w:val="none" w:sz="4" w:space="0" w:color="000000"/>
        </w:tcBorders>
        <w:shd w:val="clear" w:color="FFFFFF" w:themeColor="light1" w:fill="FFFFFF" w:themeFill="light1"/>
      </w:tcPr>
    </w:tblStylePr>
    <w:tblStylePr w:type="lastRow">
      <w:rPr>
        <w:rFonts w:ascii="Arial" w:hAnsi="Arial"/>
        <w:b/>
        <w:color w:val="5D1955" w:themeColor="accent5" w:themeShade="95"/>
        <w:sz w:val="22"/>
      </w:rPr>
      <w:tblPr/>
      <w:tcPr>
        <w:tcBorders>
          <w:top w:val="single" w:sz="4" w:space="0" w:color="DA76C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5D1955" w:themeColor="accent5" w:themeShade="95"/>
        <w:sz w:val="22"/>
      </w:rPr>
      <w:tblPr/>
      <w:tcPr>
        <w:tcBorders>
          <w:top w:val="none" w:sz="4" w:space="0" w:color="000000"/>
          <w:left w:val="none" w:sz="4" w:space="0" w:color="000000"/>
          <w:bottom w:val="none" w:sz="4" w:space="0" w:color="000000"/>
          <w:right w:val="single" w:sz="4" w:space="0" w:color="DA76CE" w:themeColor="accent5" w:themeTint="90"/>
        </w:tcBorders>
        <w:shd w:val="clear" w:color="FFFFFF" w:fill="auto"/>
      </w:tcPr>
    </w:tblStylePr>
    <w:tblStylePr w:type="lastCol">
      <w:rPr>
        <w:rFonts w:ascii="Arial" w:hAnsi="Arial"/>
        <w:i/>
        <w:color w:val="5D1955" w:themeColor="accent5" w:themeShade="95"/>
        <w:sz w:val="22"/>
      </w:rPr>
      <w:tblPr/>
      <w:tcPr>
        <w:tcBorders>
          <w:top w:val="none" w:sz="4" w:space="0" w:color="000000"/>
          <w:left w:val="single" w:sz="4" w:space="0" w:color="DA76CE" w:themeColor="accent5" w:themeTint="90"/>
          <w:bottom w:val="none" w:sz="4" w:space="0" w:color="000000"/>
          <w:right w:val="none" w:sz="4" w:space="0" w:color="000000"/>
        </w:tcBorders>
        <w:shd w:val="clear" w:color="FFFFFF" w:fill="auto"/>
      </w:tcPr>
    </w:tblStylePr>
    <w:tblStylePr w:type="band1Vert">
      <w:tblPr/>
      <w:tcPr>
        <w:shd w:val="clear" w:color="F1CDED" w:themeColor="accent5" w:themeTint="34" w:fill="F1CDED" w:themeFill="accent5" w:themeFillTint="34"/>
      </w:tcPr>
    </w:tblStylePr>
    <w:tblStylePr w:type="band1Horz">
      <w:rPr>
        <w:rFonts w:ascii="Arial" w:hAnsi="Arial"/>
        <w:color w:val="5D1955" w:themeColor="accent5" w:themeShade="95"/>
        <w:sz w:val="22"/>
      </w:rPr>
      <w:tblPr/>
      <w:tcPr>
        <w:shd w:val="clear" w:color="F1CDED" w:themeColor="accent5" w:themeTint="34" w:fill="F1CDED" w:themeFill="accent5" w:themeFillTint="34"/>
      </w:tcPr>
    </w:tblStylePr>
    <w:tblStylePr w:type="band2Horz">
      <w:rPr>
        <w:rFonts w:ascii="Arial" w:hAnsi="Arial"/>
        <w:color w:val="5D1955" w:themeColor="accent5" w:themeShade="95"/>
        <w:sz w:val="22"/>
      </w:rPr>
    </w:tblStylePr>
  </w:style>
  <w:style w:type="table" w:customStyle="1" w:styleId="GridTable7Colorful-Accent6">
    <w:name w:val="Grid Table 7 Colorful - Accent 6"/>
    <w:basedOn w:val="NormaleTabelle"/>
    <w:uiPriority w:val="99"/>
    <w:pPr>
      <w:spacing w:after="0" w:line="240" w:lineRule="auto"/>
    </w:pPr>
    <w:tblPr>
      <w:tblStyleRowBandSize w:val="1"/>
      <w:tblStyleColBandSize w:val="1"/>
      <w:tblBorders>
        <w:bottom w:val="single" w:sz="4" w:space="0" w:color="94DA7B" w:themeColor="accent6" w:themeTint="90"/>
        <w:right w:val="single" w:sz="4" w:space="0" w:color="94DA7B" w:themeColor="accent6" w:themeTint="90"/>
        <w:insideH w:val="single" w:sz="4" w:space="0" w:color="94DA7B" w:themeColor="accent6" w:themeTint="90"/>
        <w:insideV w:val="single" w:sz="4" w:space="0" w:color="94DA7B" w:themeColor="accent6" w:themeTint="90"/>
      </w:tblBorders>
    </w:tblPr>
    <w:tblStylePr w:type="firstRow">
      <w:rPr>
        <w:rFonts w:ascii="Arial" w:hAnsi="Arial"/>
        <w:b/>
        <w:color w:val="2D611B" w:themeColor="accent6" w:themeShade="95"/>
        <w:sz w:val="22"/>
      </w:rPr>
      <w:tblPr/>
      <w:tcPr>
        <w:tcBorders>
          <w:top w:val="none" w:sz="4" w:space="0" w:color="000000"/>
          <w:left w:val="none" w:sz="4" w:space="0" w:color="000000"/>
          <w:bottom w:val="single" w:sz="4" w:space="0" w:color="94DA7B" w:themeColor="accent6" w:themeTint="90"/>
          <w:right w:val="none" w:sz="4" w:space="0" w:color="000000"/>
        </w:tcBorders>
        <w:shd w:val="clear" w:color="FFFFFF" w:themeColor="light1" w:fill="FFFFFF" w:themeFill="light1"/>
      </w:tcPr>
    </w:tblStylePr>
    <w:tblStylePr w:type="lastRow">
      <w:rPr>
        <w:rFonts w:ascii="Arial" w:hAnsi="Arial"/>
        <w:b/>
        <w:color w:val="2D611B" w:themeColor="accent6" w:themeShade="95"/>
        <w:sz w:val="22"/>
      </w:rPr>
      <w:tblPr/>
      <w:tcPr>
        <w:tcBorders>
          <w:top w:val="single" w:sz="4" w:space="0" w:color="94DA7B"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D611B" w:themeColor="accent6" w:themeShade="95"/>
        <w:sz w:val="22"/>
      </w:rPr>
      <w:tblPr/>
      <w:tcPr>
        <w:tcBorders>
          <w:top w:val="none" w:sz="4" w:space="0" w:color="000000"/>
          <w:left w:val="none" w:sz="4" w:space="0" w:color="000000"/>
          <w:bottom w:val="none" w:sz="4" w:space="0" w:color="000000"/>
          <w:right w:val="single" w:sz="4" w:space="0" w:color="94DA7B" w:themeColor="accent6" w:themeTint="90"/>
        </w:tcBorders>
        <w:shd w:val="clear" w:color="FFFFFF" w:fill="auto"/>
      </w:tcPr>
    </w:tblStylePr>
    <w:tblStylePr w:type="lastCol">
      <w:rPr>
        <w:rFonts w:ascii="Arial" w:hAnsi="Arial"/>
        <w:i/>
        <w:color w:val="2D611B" w:themeColor="accent6" w:themeShade="95"/>
        <w:sz w:val="22"/>
      </w:rPr>
      <w:tblPr/>
      <w:tcPr>
        <w:tcBorders>
          <w:top w:val="none" w:sz="4" w:space="0" w:color="000000"/>
          <w:left w:val="single" w:sz="4" w:space="0" w:color="94DA7B" w:themeColor="accent6" w:themeTint="90"/>
          <w:bottom w:val="none" w:sz="4" w:space="0" w:color="000000"/>
          <w:right w:val="none" w:sz="4" w:space="0" w:color="000000"/>
        </w:tcBorders>
        <w:shd w:val="clear" w:color="FFFFFF" w:fill="auto"/>
      </w:tcPr>
    </w:tblStylePr>
    <w:tblStylePr w:type="band1Vert">
      <w:tblPr/>
      <w:tcPr>
        <w:shd w:val="clear" w:color="D8F2CF" w:themeColor="accent6" w:themeTint="34" w:fill="D8F2CF" w:themeFill="accent6" w:themeFillTint="34"/>
      </w:tcPr>
    </w:tblStylePr>
    <w:tblStylePr w:type="band1Horz">
      <w:rPr>
        <w:rFonts w:ascii="Arial" w:hAnsi="Arial"/>
        <w:color w:val="2D611B" w:themeColor="accent6" w:themeShade="95"/>
        <w:sz w:val="22"/>
      </w:rPr>
      <w:tblPr/>
      <w:tcPr>
        <w:shd w:val="clear" w:color="D8F2CF" w:themeColor="accent6" w:themeTint="34" w:fill="D8F2CF" w:themeFill="accent6" w:themeFillTint="34"/>
      </w:tcPr>
    </w:tblStylePr>
    <w:tblStylePr w:type="band2Horz">
      <w:rPr>
        <w:rFonts w:ascii="Arial" w:hAnsi="Arial"/>
        <w:color w:val="2D611B" w:themeColor="accent6" w:themeShade="95"/>
        <w:sz w:val="22"/>
      </w:rPr>
    </w:tblStylePr>
  </w:style>
  <w:style w:type="table" w:styleId="Listentabelle1hell">
    <w:name w:val="List Table 1 Light"/>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156082" w:themeColor="accent1"/>
          <w:right w:val="none" w:sz="4" w:space="0" w:color="000000"/>
        </w:tcBorders>
      </w:tcPr>
    </w:tblStylePr>
    <w:tblStylePr w:type="lastRow">
      <w:rPr>
        <w:b/>
        <w:color w:val="404040"/>
      </w:rPr>
      <w:tblPr/>
      <w:tcPr>
        <w:tcBorders>
          <w:top w:val="single" w:sz="4" w:space="0" w:color="156082"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1DEF2" w:themeColor="accent1" w:themeTint="40" w:fill="B1DEF2" w:themeFill="accent1" w:themeFillTint="40"/>
      </w:tcPr>
    </w:tblStylePr>
    <w:tblStylePr w:type="band1Horz">
      <w:tblPr/>
      <w:tcPr>
        <w:shd w:val="clear" w:color="B1DEF2" w:themeColor="accent1" w:themeTint="40" w:fill="B1DEF2" w:themeFill="accent1" w:themeFillTint="40"/>
      </w:tcPr>
    </w:tblStylePr>
  </w:style>
  <w:style w:type="table" w:customStyle="1" w:styleId="ListTable1Light-Accent2">
    <w:name w:val="List Table 1 Light - Accent 2"/>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97132" w:themeColor="accent2"/>
          <w:right w:val="none" w:sz="4" w:space="0" w:color="000000"/>
        </w:tcBorders>
      </w:tcPr>
    </w:tblStylePr>
    <w:tblStylePr w:type="lastRow">
      <w:rPr>
        <w:b/>
        <w:color w:val="404040"/>
      </w:rPr>
      <w:tblPr/>
      <w:tcPr>
        <w:tcBorders>
          <w:top w:val="single" w:sz="4" w:space="0" w:color="E97132"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9DBCB" w:themeColor="accent2" w:themeTint="40" w:fill="F9DBCB" w:themeFill="accent2" w:themeFillTint="40"/>
      </w:tcPr>
    </w:tblStylePr>
    <w:tblStylePr w:type="band1Horz">
      <w:tblPr/>
      <w:tcPr>
        <w:shd w:val="clear" w:color="F9DBCB" w:themeColor="accent2" w:themeTint="40" w:fill="F9DBCB" w:themeFill="accent2" w:themeFillTint="40"/>
      </w:tcPr>
    </w:tblStylePr>
  </w:style>
  <w:style w:type="table" w:customStyle="1" w:styleId="ListTable1Light-Accent3">
    <w:name w:val="List Table 1 Light - Accent 3"/>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196B24" w:themeColor="accent3"/>
          <w:right w:val="none" w:sz="4" w:space="0" w:color="000000"/>
        </w:tcBorders>
      </w:tcPr>
    </w:tblStylePr>
    <w:tblStylePr w:type="lastRow">
      <w:rPr>
        <w:b/>
        <w:color w:val="404040"/>
      </w:rPr>
      <w:tblPr/>
      <w:tcPr>
        <w:tcBorders>
          <w:top w:val="single" w:sz="4" w:space="0" w:color="196B24"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2EDB9" w:themeColor="accent3" w:themeTint="40" w:fill="B2EDB9" w:themeFill="accent3" w:themeFillTint="40"/>
      </w:tcPr>
    </w:tblStylePr>
    <w:tblStylePr w:type="band1Horz">
      <w:tblPr/>
      <w:tcPr>
        <w:shd w:val="clear" w:color="B2EDB9" w:themeColor="accent3" w:themeTint="40" w:fill="B2EDB9" w:themeFill="accent3" w:themeFillTint="40"/>
      </w:tcPr>
    </w:tblStylePr>
  </w:style>
  <w:style w:type="table" w:customStyle="1" w:styleId="ListTable1Light-Accent4">
    <w:name w:val="List Table 1 Light - Accent 4"/>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F9ED5" w:themeColor="accent4"/>
          <w:right w:val="none" w:sz="4" w:space="0" w:color="000000"/>
        </w:tcBorders>
      </w:tcPr>
    </w:tblStylePr>
    <w:tblStylePr w:type="lastRow">
      <w:rPr>
        <w:b/>
        <w:color w:val="404040"/>
      </w:rPr>
      <w:tblPr/>
      <w:tcPr>
        <w:tcBorders>
          <w:top w:val="single" w:sz="4" w:space="0" w:color="0F9ED5"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CE9FA" w:themeColor="accent4" w:themeTint="40" w:fill="BCE9FA" w:themeFill="accent4" w:themeFillTint="40"/>
      </w:tcPr>
    </w:tblStylePr>
    <w:tblStylePr w:type="band1Horz">
      <w:tblPr/>
      <w:tcPr>
        <w:shd w:val="clear" w:color="BCE9FA" w:themeColor="accent4" w:themeTint="40" w:fill="BCE9FA" w:themeFill="accent4" w:themeFillTint="40"/>
      </w:tcPr>
    </w:tblStylePr>
  </w:style>
  <w:style w:type="table" w:customStyle="1" w:styleId="ListTable1Light-Accent5">
    <w:name w:val="List Table 1 Light - Accent 5"/>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02B93" w:themeColor="accent5"/>
          <w:right w:val="none" w:sz="4" w:space="0" w:color="000000"/>
        </w:tcBorders>
      </w:tcPr>
    </w:tblStylePr>
    <w:tblStylePr w:type="lastRow">
      <w:rPr>
        <w:b/>
        <w:color w:val="404040"/>
      </w:rPr>
      <w:tblPr/>
      <w:tcPr>
        <w:tcBorders>
          <w:top w:val="single" w:sz="4" w:space="0" w:color="A02B93"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EC2E9" w:themeColor="accent5" w:themeTint="40" w:fill="EEC2E9" w:themeFill="accent5" w:themeFillTint="40"/>
      </w:tcPr>
    </w:tblStylePr>
    <w:tblStylePr w:type="band1Horz">
      <w:tblPr/>
      <w:tcPr>
        <w:shd w:val="clear" w:color="EEC2E9" w:themeColor="accent5" w:themeTint="40" w:fill="EEC2E9" w:themeFill="accent5" w:themeFillTint="40"/>
      </w:tcPr>
    </w:tblStylePr>
  </w:style>
  <w:style w:type="table" w:customStyle="1" w:styleId="ListTable1Light-Accent6">
    <w:name w:val="List Table 1 Light - Accent 6"/>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EA72E" w:themeColor="accent6"/>
          <w:right w:val="none" w:sz="4" w:space="0" w:color="000000"/>
        </w:tcBorders>
      </w:tcPr>
    </w:tblStylePr>
    <w:tblStylePr w:type="lastRow">
      <w:rPr>
        <w:b/>
        <w:color w:val="404040"/>
      </w:rPr>
      <w:tblPr/>
      <w:tcPr>
        <w:tcBorders>
          <w:top w:val="single" w:sz="4" w:space="0" w:color="4EA72E"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EFC4" w:themeColor="accent6" w:themeTint="40" w:fill="CFEFC4" w:themeFill="accent6" w:themeFillTint="40"/>
      </w:tcPr>
    </w:tblStylePr>
    <w:tblStylePr w:type="band1Horz">
      <w:tblPr/>
      <w:tcPr>
        <w:shd w:val="clear" w:color="CFEFC4" w:themeColor="accent6" w:themeTint="40" w:fill="CFEFC4" w:themeFill="accent6" w:themeFillTint="40"/>
      </w:tcPr>
    </w:tblStylePr>
  </w:style>
  <w:style w:type="table" w:styleId="Listentabelle2">
    <w:name w:val="List Table 2"/>
    <w:basedOn w:val="NormaleTabelle"/>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NormaleTabelle"/>
    <w:uiPriority w:val="99"/>
    <w:pPr>
      <w:spacing w:after="0" w:line="240" w:lineRule="auto"/>
    </w:pPr>
    <w:tblPr>
      <w:tblStyleRowBandSize w:val="1"/>
      <w:tblStyleColBandSize w:val="1"/>
      <w:tblBorders>
        <w:top w:val="single" w:sz="4" w:space="0" w:color="50B4E2" w:themeColor="accent1" w:themeTint="90"/>
        <w:bottom w:val="single" w:sz="4" w:space="0" w:color="50B4E2" w:themeColor="accent1" w:themeTint="90"/>
        <w:insideH w:val="single" w:sz="4" w:space="0" w:color="50B4E2" w:themeColor="accent1" w:themeTint="90"/>
      </w:tblBorders>
    </w:tblPr>
    <w:tblStylePr w:type="firstRow">
      <w:rPr>
        <w:rFonts w:ascii="Arial" w:hAnsi="Arial"/>
        <w:b/>
        <w:color w:val="404040"/>
        <w:sz w:val="22"/>
      </w:rPr>
      <w:tblPr/>
      <w:tcPr>
        <w:tcBorders>
          <w:top w:val="single" w:sz="4" w:space="0" w:color="50B4E2" w:themeColor="accent1" w:themeTint="90"/>
          <w:left w:val="none" w:sz="4" w:space="0" w:color="000000"/>
          <w:bottom w:val="single" w:sz="4" w:space="0" w:color="50B4E2" w:themeColor="accent1" w:themeTint="90"/>
          <w:right w:val="none" w:sz="4" w:space="0" w:color="000000"/>
        </w:tcBorders>
      </w:tcPr>
    </w:tblStylePr>
    <w:tblStylePr w:type="lastRow">
      <w:rPr>
        <w:rFonts w:ascii="Arial" w:hAnsi="Arial"/>
        <w:b/>
        <w:color w:val="404040"/>
        <w:sz w:val="22"/>
      </w:rPr>
      <w:tblPr/>
      <w:tcPr>
        <w:tcBorders>
          <w:top w:val="single" w:sz="4" w:space="0" w:color="50B4E2" w:themeColor="accent1" w:themeTint="90"/>
          <w:left w:val="none" w:sz="4" w:space="0" w:color="000000"/>
          <w:bottom w:val="single" w:sz="4" w:space="0" w:color="50B4E2"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1DEF2" w:themeColor="accent1" w:themeTint="40" w:fill="B1DEF2" w:themeFill="accent1" w:themeFillTint="40"/>
      </w:tcPr>
    </w:tblStylePr>
    <w:tblStylePr w:type="band1Horz">
      <w:rPr>
        <w:rFonts w:ascii="Arial" w:hAnsi="Arial"/>
        <w:color w:val="404040"/>
        <w:sz w:val="22"/>
      </w:rPr>
      <w:tblPr/>
      <w:tcPr>
        <w:shd w:val="clear" w:color="B1DEF2" w:themeColor="accent1" w:themeTint="40" w:fill="B1DEF2" w:themeFill="accent1" w:themeFillTint="40"/>
      </w:tcPr>
    </w:tblStylePr>
  </w:style>
  <w:style w:type="table" w:customStyle="1" w:styleId="ListTable2-Accent2">
    <w:name w:val="List Table 2 - Accent 2"/>
    <w:basedOn w:val="NormaleTabelle"/>
    <w:uiPriority w:val="99"/>
    <w:pPr>
      <w:spacing w:after="0" w:line="240" w:lineRule="auto"/>
    </w:pPr>
    <w:tblPr>
      <w:tblStyleRowBandSize w:val="1"/>
      <w:tblStyleColBandSize w:val="1"/>
      <w:tblBorders>
        <w:top w:val="single" w:sz="4" w:space="0" w:color="F2AE8B" w:themeColor="accent2" w:themeTint="90"/>
        <w:bottom w:val="single" w:sz="4" w:space="0" w:color="F2AE8B" w:themeColor="accent2" w:themeTint="90"/>
        <w:insideH w:val="single" w:sz="4" w:space="0" w:color="F2AE8B" w:themeColor="accent2" w:themeTint="90"/>
      </w:tblBorders>
    </w:tblPr>
    <w:tblStylePr w:type="firstRow">
      <w:rPr>
        <w:rFonts w:ascii="Arial" w:hAnsi="Arial"/>
        <w:b/>
        <w:color w:val="404040"/>
        <w:sz w:val="22"/>
      </w:rPr>
      <w:tblPr/>
      <w:tcPr>
        <w:tcBorders>
          <w:top w:val="single" w:sz="4" w:space="0" w:color="F2AE8B" w:themeColor="accent2" w:themeTint="90"/>
          <w:left w:val="none" w:sz="4" w:space="0" w:color="000000"/>
          <w:bottom w:val="single" w:sz="4" w:space="0" w:color="F2AE8B" w:themeColor="accent2" w:themeTint="90"/>
          <w:right w:val="none" w:sz="4" w:space="0" w:color="000000"/>
        </w:tcBorders>
      </w:tcPr>
    </w:tblStylePr>
    <w:tblStylePr w:type="lastRow">
      <w:rPr>
        <w:rFonts w:ascii="Arial" w:hAnsi="Arial"/>
        <w:b/>
        <w:color w:val="404040"/>
        <w:sz w:val="22"/>
      </w:rPr>
      <w:tblPr/>
      <w:tcPr>
        <w:tcBorders>
          <w:top w:val="single" w:sz="4" w:space="0" w:color="F2AE8B" w:themeColor="accent2" w:themeTint="90"/>
          <w:left w:val="none" w:sz="4" w:space="0" w:color="000000"/>
          <w:bottom w:val="single" w:sz="4" w:space="0" w:color="F2AE8B"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9DBCB" w:themeColor="accent2" w:themeTint="40" w:fill="F9DBCB" w:themeFill="accent2" w:themeFillTint="40"/>
      </w:tcPr>
    </w:tblStylePr>
    <w:tblStylePr w:type="band1Horz">
      <w:rPr>
        <w:rFonts w:ascii="Arial" w:hAnsi="Arial"/>
        <w:color w:val="404040"/>
        <w:sz w:val="22"/>
      </w:rPr>
      <w:tblPr/>
      <w:tcPr>
        <w:shd w:val="clear" w:color="F9DBCB" w:themeColor="accent2" w:themeTint="40" w:fill="F9DBCB" w:themeFill="accent2" w:themeFillTint="40"/>
      </w:tcPr>
    </w:tblStylePr>
  </w:style>
  <w:style w:type="table" w:customStyle="1" w:styleId="ListTable2-Accent3">
    <w:name w:val="List Table 2 - Accent 3"/>
    <w:basedOn w:val="NormaleTabelle"/>
    <w:uiPriority w:val="99"/>
    <w:pPr>
      <w:spacing w:after="0" w:line="240" w:lineRule="auto"/>
    </w:pPr>
    <w:tblPr>
      <w:tblStyleRowBandSize w:val="1"/>
      <w:tblStyleColBandSize w:val="1"/>
      <w:tblBorders>
        <w:top w:val="single" w:sz="4" w:space="0" w:color="51D663" w:themeColor="accent3" w:themeTint="90"/>
        <w:bottom w:val="single" w:sz="4" w:space="0" w:color="51D663" w:themeColor="accent3" w:themeTint="90"/>
        <w:insideH w:val="single" w:sz="4" w:space="0" w:color="51D663" w:themeColor="accent3" w:themeTint="90"/>
      </w:tblBorders>
    </w:tblPr>
    <w:tblStylePr w:type="firstRow">
      <w:rPr>
        <w:rFonts w:ascii="Arial" w:hAnsi="Arial"/>
        <w:b/>
        <w:color w:val="404040"/>
        <w:sz w:val="22"/>
      </w:rPr>
      <w:tblPr/>
      <w:tcPr>
        <w:tcBorders>
          <w:top w:val="single" w:sz="4" w:space="0" w:color="51D663" w:themeColor="accent3" w:themeTint="90"/>
          <w:left w:val="none" w:sz="4" w:space="0" w:color="000000"/>
          <w:bottom w:val="single" w:sz="4" w:space="0" w:color="51D663" w:themeColor="accent3" w:themeTint="90"/>
          <w:right w:val="none" w:sz="4" w:space="0" w:color="000000"/>
        </w:tcBorders>
      </w:tcPr>
    </w:tblStylePr>
    <w:tblStylePr w:type="lastRow">
      <w:rPr>
        <w:rFonts w:ascii="Arial" w:hAnsi="Arial"/>
        <w:b/>
        <w:color w:val="404040"/>
        <w:sz w:val="22"/>
      </w:rPr>
      <w:tblPr/>
      <w:tcPr>
        <w:tcBorders>
          <w:top w:val="single" w:sz="4" w:space="0" w:color="51D663" w:themeColor="accent3" w:themeTint="90"/>
          <w:left w:val="none" w:sz="4" w:space="0" w:color="000000"/>
          <w:bottom w:val="single" w:sz="4" w:space="0" w:color="51D663"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2EDB9" w:themeColor="accent3" w:themeTint="40" w:fill="B2EDB9" w:themeFill="accent3" w:themeFillTint="40"/>
      </w:tcPr>
    </w:tblStylePr>
    <w:tblStylePr w:type="band1Horz">
      <w:rPr>
        <w:rFonts w:ascii="Arial" w:hAnsi="Arial"/>
        <w:color w:val="404040"/>
        <w:sz w:val="22"/>
      </w:rPr>
      <w:tblPr/>
      <w:tcPr>
        <w:shd w:val="clear" w:color="B2EDB9" w:themeColor="accent3" w:themeTint="40" w:fill="B2EDB9" w:themeFill="accent3" w:themeFillTint="40"/>
      </w:tcPr>
    </w:tblStylePr>
  </w:style>
  <w:style w:type="table" w:customStyle="1" w:styleId="ListTable2-Accent4">
    <w:name w:val="List Table 2 - Accent 4"/>
    <w:basedOn w:val="NormaleTabelle"/>
    <w:uiPriority w:val="99"/>
    <w:pPr>
      <w:spacing w:after="0" w:line="240" w:lineRule="auto"/>
    </w:pPr>
    <w:tblPr>
      <w:tblStyleRowBandSize w:val="1"/>
      <w:tblStyleColBandSize w:val="1"/>
      <w:tblBorders>
        <w:top w:val="single" w:sz="4" w:space="0" w:color="6ACDF4" w:themeColor="accent4" w:themeTint="90"/>
        <w:bottom w:val="single" w:sz="4" w:space="0" w:color="6ACDF4" w:themeColor="accent4" w:themeTint="90"/>
        <w:insideH w:val="single" w:sz="4" w:space="0" w:color="6ACDF4" w:themeColor="accent4" w:themeTint="90"/>
      </w:tblBorders>
    </w:tblPr>
    <w:tblStylePr w:type="firstRow">
      <w:rPr>
        <w:rFonts w:ascii="Arial" w:hAnsi="Arial"/>
        <w:b/>
        <w:color w:val="404040"/>
        <w:sz w:val="22"/>
      </w:rPr>
      <w:tblPr/>
      <w:tcPr>
        <w:tcBorders>
          <w:top w:val="single" w:sz="4" w:space="0" w:color="6ACDF4" w:themeColor="accent4" w:themeTint="90"/>
          <w:left w:val="none" w:sz="4" w:space="0" w:color="000000"/>
          <w:bottom w:val="single" w:sz="4" w:space="0" w:color="6ACDF4" w:themeColor="accent4" w:themeTint="90"/>
          <w:right w:val="none" w:sz="4" w:space="0" w:color="000000"/>
        </w:tcBorders>
      </w:tcPr>
    </w:tblStylePr>
    <w:tblStylePr w:type="lastRow">
      <w:rPr>
        <w:rFonts w:ascii="Arial" w:hAnsi="Arial"/>
        <w:b/>
        <w:color w:val="404040"/>
        <w:sz w:val="22"/>
      </w:rPr>
      <w:tblPr/>
      <w:tcPr>
        <w:tcBorders>
          <w:top w:val="single" w:sz="4" w:space="0" w:color="6ACDF4" w:themeColor="accent4" w:themeTint="90"/>
          <w:left w:val="none" w:sz="4" w:space="0" w:color="000000"/>
          <w:bottom w:val="single" w:sz="4" w:space="0" w:color="6ACDF4"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CE9FA" w:themeColor="accent4" w:themeTint="40" w:fill="BCE9FA" w:themeFill="accent4" w:themeFillTint="40"/>
      </w:tcPr>
    </w:tblStylePr>
    <w:tblStylePr w:type="band1Horz">
      <w:rPr>
        <w:rFonts w:ascii="Arial" w:hAnsi="Arial"/>
        <w:color w:val="404040"/>
        <w:sz w:val="22"/>
      </w:rPr>
      <w:tblPr/>
      <w:tcPr>
        <w:shd w:val="clear" w:color="BCE9FA" w:themeColor="accent4" w:themeTint="40" w:fill="BCE9FA" w:themeFill="accent4" w:themeFillTint="40"/>
      </w:tcPr>
    </w:tblStylePr>
  </w:style>
  <w:style w:type="table" w:customStyle="1" w:styleId="ListTable2-Accent5">
    <w:name w:val="List Table 2 - Accent 5"/>
    <w:basedOn w:val="NormaleTabelle"/>
    <w:uiPriority w:val="99"/>
    <w:pPr>
      <w:spacing w:after="0" w:line="240" w:lineRule="auto"/>
    </w:pPr>
    <w:tblPr>
      <w:tblStyleRowBandSize w:val="1"/>
      <w:tblStyleColBandSize w:val="1"/>
      <w:tblBorders>
        <w:top w:val="single" w:sz="4" w:space="0" w:color="DA76CE" w:themeColor="accent5" w:themeTint="90"/>
        <w:bottom w:val="single" w:sz="4" w:space="0" w:color="DA76CE" w:themeColor="accent5" w:themeTint="90"/>
        <w:insideH w:val="single" w:sz="4" w:space="0" w:color="DA76CE" w:themeColor="accent5" w:themeTint="90"/>
      </w:tblBorders>
    </w:tblPr>
    <w:tblStylePr w:type="firstRow">
      <w:rPr>
        <w:rFonts w:ascii="Arial" w:hAnsi="Arial"/>
        <w:b/>
        <w:color w:val="404040"/>
        <w:sz w:val="22"/>
      </w:rPr>
      <w:tblPr/>
      <w:tcPr>
        <w:tcBorders>
          <w:top w:val="single" w:sz="4" w:space="0" w:color="DA76CE" w:themeColor="accent5" w:themeTint="90"/>
          <w:left w:val="none" w:sz="4" w:space="0" w:color="000000"/>
          <w:bottom w:val="single" w:sz="4" w:space="0" w:color="DA76CE" w:themeColor="accent5" w:themeTint="90"/>
          <w:right w:val="none" w:sz="4" w:space="0" w:color="000000"/>
        </w:tcBorders>
      </w:tcPr>
    </w:tblStylePr>
    <w:tblStylePr w:type="lastRow">
      <w:rPr>
        <w:rFonts w:ascii="Arial" w:hAnsi="Arial"/>
        <w:b/>
        <w:color w:val="404040"/>
        <w:sz w:val="22"/>
      </w:rPr>
      <w:tblPr/>
      <w:tcPr>
        <w:tcBorders>
          <w:top w:val="single" w:sz="4" w:space="0" w:color="DA76CE" w:themeColor="accent5" w:themeTint="90"/>
          <w:left w:val="none" w:sz="4" w:space="0" w:color="000000"/>
          <w:bottom w:val="single" w:sz="4" w:space="0" w:color="DA76C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EC2E9" w:themeColor="accent5" w:themeTint="40" w:fill="EEC2E9" w:themeFill="accent5" w:themeFillTint="40"/>
      </w:tcPr>
    </w:tblStylePr>
    <w:tblStylePr w:type="band1Horz">
      <w:rPr>
        <w:rFonts w:ascii="Arial" w:hAnsi="Arial"/>
        <w:color w:val="404040"/>
        <w:sz w:val="22"/>
      </w:rPr>
      <w:tblPr/>
      <w:tcPr>
        <w:shd w:val="clear" w:color="EEC2E9" w:themeColor="accent5" w:themeTint="40" w:fill="EEC2E9" w:themeFill="accent5" w:themeFillTint="40"/>
      </w:tcPr>
    </w:tblStylePr>
  </w:style>
  <w:style w:type="table" w:customStyle="1" w:styleId="ListTable2-Accent6">
    <w:name w:val="List Table 2 - Accent 6"/>
    <w:basedOn w:val="NormaleTabelle"/>
    <w:uiPriority w:val="99"/>
    <w:pPr>
      <w:spacing w:after="0" w:line="240" w:lineRule="auto"/>
    </w:pPr>
    <w:tblPr>
      <w:tblStyleRowBandSize w:val="1"/>
      <w:tblStyleColBandSize w:val="1"/>
      <w:tblBorders>
        <w:top w:val="single" w:sz="4" w:space="0" w:color="94DA7B" w:themeColor="accent6" w:themeTint="90"/>
        <w:bottom w:val="single" w:sz="4" w:space="0" w:color="94DA7B" w:themeColor="accent6" w:themeTint="90"/>
        <w:insideH w:val="single" w:sz="4" w:space="0" w:color="94DA7B" w:themeColor="accent6" w:themeTint="90"/>
      </w:tblBorders>
    </w:tblPr>
    <w:tblStylePr w:type="firstRow">
      <w:rPr>
        <w:rFonts w:ascii="Arial" w:hAnsi="Arial"/>
        <w:b/>
        <w:color w:val="404040"/>
        <w:sz w:val="22"/>
      </w:rPr>
      <w:tblPr/>
      <w:tcPr>
        <w:tcBorders>
          <w:top w:val="single" w:sz="4" w:space="0" w:color="94DA7B" w:themeColor="accent6" w:themeTint="90"/>
          <w:left w:val="none" w:sz="4" w:space="0" w:color="000000"/>
          <w:bottom w:val="single" w:sz="4" w:space="0" w:color="94DA7B" w:themeColor="accent6" w:themeTint="90"/>
          <w:right w:val="none" w:sz="4" w:space="0" w:color="000000"/>
        </w:tcBorders>
      </w:tcPr>
    </w:tblStylePr>
    <w:tblStylePr w:type="lastRow">
      <w:rPr>
        <w:rFonts w:ascii="Arial" w:hAnsi="Arial"/>
        <w:b/>
        <w:color w:val="404040"/>
        <w:sz w:val="22"/>
      </w:rPr>
      <w:tblPr/>
      <w:tcPr>
        <w:tcBorders>
          <w:top w:val="single" w:sz="4" w:space="0" w:color="94DA7B" w:themeColor="accent6" w:themeTint="90"/>
          <w:left w:val="none" w:sz="4" w:space="0" w:color="000000"/>
          <w:bottom w:val="single" w:sz="4" w:space="0" w:color="94DA7B"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EFC4" w:themeColor="accent6" w:themeTint="40" w:fill="CFEFC4" w:themeFill="accent6" w:themeFillTint="40"/>
      </w:tcPr>
    </w:tblStylePr>
    <w:tblStylePr w:type="band1Horz">
      <w:rPr>
        <w:rFonts w:ascii="Arial" w:hAnsi="Arial"/>
        <w:color w:val="404040"/>
        <w:sz w:val="22"/>
      </w:rPr>
      <w:tblPr/>
      <w:tcPr>
        <w:shd w:val="clear" w:color="CFEFC4" w:themeColor="accent6" w:themeTint="40" w:fill="CFEFC4" w:themeFill="accent6" w:themeFillTint="40"/>
      </w:tcPr>
    </w:tblStylePr>
  </w:style>
  <w:style w:type="table" w:styleId="Listentabelle3">
    <w:name w:val="List Table 3"/>
    <w:basedOn w:val="NormaleTabelle"/>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NormaleTabelle"/>
    <w:uiPriority w:val="99"/>
    <w:pPr>
      <w:spacing w:after="0" w:line="240" w:lineRule="auto"/>
    </w:pPr>
    <w:tblPr>
      <w:tblStyleRowBandSize w:val="1"/>
      <w:tblStyleColBandSize w:val="1"/>
      <w:tblBorders>
        <w:top w:val="single" w:sz="4" w:space="0" w:color="156082" w:themeColor="accent1"/>
        <w:left w:val="single" w:sz="4" w:space="0" w:color="156082" w:themeColor="accent1"/>
        <w:bottom w:val="single" w:sz="4" w:space="0" w:color="156082" w:themeColor="accent1"/>
        <w:right w:val="single" w:sz="4" w:space="0" w:color="156082" w:themeColor="accent1"/>
      </w:tblBorders>
    </w:tblPr>
    <w:tblStylePr w:type="firstRow">
      <w:rPr>
        <w:rFonts w:ascii="Arial" w:hAnsi="Arial"/>
        <w:b/>
        <w:color w:val="FFFFFF"/>
        <w:sz w:val="22"/>
      </w:rPr>
      <w:tblPr/>
      <w:tcPr>
        <w:shd w:val="clear" w:color="156082" w:themeColor="accent1" w:fill="156082"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156082" w:themeColor="accent1"/>
          <w:right w:val="single" w:sz="4" w:space="0" w:color="156082" w:themeColor="accent1"/>
        </w:tcBorders>
      </w:tcPr>
    </w:tblStylePr>
    <w:tblStylePr w:type="band1Horz">
      <w:rPr>
        <w:rFonts w:ascii="Arial" w:hAnsi="Arial"/>
        <w:color w:val="404040"/>
        <w:sz w:val="22"/>
      </w:rPr>
      <w:tblPr/>
      <w:tcPr>
        <w:tcBorders>
          <w:top w:val="single" w:sz="4" w:space="0" w:color="156082" w:themeColor="accent1"/>
          <w:bottom w:val="single" w:sz="4" w:space="0" w:color="156082" w:themeColor="accent1"/>
        </w:tcBorders>
      </w:tcPr>
    </w:tblStylePr>
  </w:style>
  <w:style w:type="table" w:customStyle="1" w:styleId="ListTable3-Accent2">
    <w:name w:val="List Table 3 - Accent 2"/>
    <w:basedOn w:val="NormaleTabelle"/>
    <w:uiPriority w:val="99"/>
    <w:pPr>
      <w:spacing w:after="0" w:line="240" w:lineRule="auto"/>
    </w:pPr>
    <w:tblPr>
      <w:tblStyleRowBandSize w:val="1"/>
      <w:tblStyleColBandSize w:val="1"/>
      <w:tblBorders>
        <w:top w:val="single" w:sz="4" w:space="0" w:color="F2AA85" w:themeColor="accent2" w:themeTint="97"/>
        <w:left w:val="single" w:sz="4" w:space="0" w:color="F2AA85" w:themeColor="accent2" w:themeTint="97"/>
        <w:bottom w:val="single" w:sz="4" w:space="0" w:color="F2AA85" w:themeColor="accent2" w:themeTint="97"/>
        <w:right w:val="single" w:sz="4" w:space="0" w:color="F2AA85" w:themeColor="accent2" w:themeTint="97"/>
      </w:tblBorders>
    </w:tblPr>
    <w:tblStylePr w:type="firstRow">
      <w:rPr>
        <w:rFonts w:ascii="Arial" w:hAnsi="Arial"/>
        <w:b/>
        <w:color w:val="FFFFFF"/>
        <w:sz w:val="22"/>
      </w:rPr>
      <w:tblPr/>
      <w:tcPr>
        <w:shd w:val="clear" w:color="F2AA85" w:themeColor="accent2" w:themeTint="97" w:fill="F2AA8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2AA85" w:themeColor="accent2" w:themeTint="97"/>
          <w:right w:val="single" w:sz="4" w:space="0" w:color="F2AA85" w:themeColor="accent2" w:themeTint="97"/>
        </w:tcBorders>
      </w:tcPr>
    </w:tblStylePr>
    <w:tblStylePr w:type="band1Horz">
      <w:rPr>
        <w:rFonts w:ascii="Arial" w:hAnsi="Arial"/>
        <w:color w:val="404040"/>
        <w:sz w:val="22"/>
      </w:rPr>
      <w:tblPr/>
      <w:tcPr>
        <w:tcBorders>
          <w:top w:val="single" w:sz="4" w:space="0" w:color="F2AA85" w:themeColor="accent2" w:themeTint="97"/>
          <w:bottom w:val="single" w:sz="4" w:space="0" w:color="F2AA85" w:themeColor="accent2" w:themeTint="97"/>
        </w:tcBorders>
      </w:tcPr>
    </w:tblStylePr>
  </w:style>
  <w:style w:type="table" w:customStyle="1" w:styleId="ListTable3-Accent3">
    <w:name w:val="List Table 3 - Accent 3"/>
    <w:basedOn w:val="NormaleTabelle"/>
    <w:uiPriority w:val="99"/>
    <w:pPr>
      <w:spacing w:after="0" w:line="240" w:lineRule="auto"/>
    </w:pPr>
    <w:tblPr>
      <w:tblStyleRowBandSize w:val="1"/>
      <w:tblStyleColBandSize w:val="1"/>
      <w:tblBorders>
        <w:top w:val="single" w:sz="4" w:space="0" w:color="48D45B" w:themeColor="accent3" w:themeTint="98"/>
        <w:left w:val="single" w:sz="4" w:space="0" w:color="48D45B" w:themeColor="accent3" w:themeTint="98"/>
        <w:bottom w:val="single" w:sz="4" w:space="0" w:color="48D45B" w:themeColor="accent3" w:themeTint="98"/>
        <w:right w:val="single" w:sz="4" w:space="0" w:color="48D45B" w:themeColor="accent3" w:themeTint="98"/>
      </w:tblBorders>
    </w:tblPr>
    <w:tblStylePr w:type="firstRow">
      <w:rPr>
        <w:rFonts w:ascii="Arial" w:hAnsi="Arial"/>
        <w:b/>
        <w:color w:val="FFFFFF"/>
        <w:sz w:val="22"/>
      </w:rPr>
      <w:tblPr/>
      <w:tcPr>
        <w:shd w:val="clear" w:color="48D45B" w:themeColor="accent3" w:themeTint="98" w:fill="48D45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8D45B" w:themeColor="accent3" w:themeTint="98"/>
          <w:right w:val="single" w:sz="4" w:space="0" w:color="48D45B" w:themeColor="accent3" w:themeTint="98"/>
        </w:tcBorders>
      </w:tcPr>
    </w:tblStylePr>
    <w:tblStylePr w:type="band1Horz">
      <w:rPr>
        <w:rFonts w:ascii="Arial" w:hAnsi="Arial"/>
        <w:color w:val="404040"/>
        <w:sz w:val="22"/>
      </w:rPr>
      <w:tblPr/>
      <w:tcPr>
        <w:tcBorders>
          <w:top w:val="single" w:sz="4" w:space="0" w:color="48D45B" w:themeColor="accent3" w:themeTint="98"/>
          <w:bottom w:val="single" w:sz="4" w:space="0" w:color="48D45B" w:themeColor="accent3" w:themeTint="98"/>
        </w:tcBorders>
      </w:tcPr>
    </w:tblStylePr>
  </w:style>
  <w:style w:type="table" w:customStyle="1" w:styleId="ListTable3-Accent4">
    <w:name w:val="List Table 3 - Accent 4"/>
    <w:basedOn w:val="NormaleTabelle"/>
    <w:uiPriority w:val="99"/>
    <w:pPr>
      <w:spacing w:after="0" w:line="240" w:lineRule="auto"/>
    </w:pPr>
    <w:tblPr>
      <w:tblStyleRowBandSize w:val="1"/>
      <w:tblStyleColBandSize w:val="1"/>
      <w:tblBorders>
        <w:top w:val="single" w:sz="4" w:space="0" w:color="5FCAF3" w:themeColor="accent4" w:themeTint="9A"/>
        <w:left w:val="single" w:sz="4" w:space="0" w:color="5FCAF3" w:themeColor="accent4" w:themeTint="9A"/>
        <w:bottom w:val="single" w:sz="4" w:space="0" w:color="5FCAF3" w:themeColor="accent4" w:themeTint="9A"/>
        <w:right w:val="single" w:sz="4" w:space="0" w:color="5FCAF3" w:themeColor="accent4" w:themeTint="9A"/>
      </w:tblBorders>
    </w:tblPr>
    <w:tblStylePr w:type="firstRow">
      <w:rPr>
        <w:rFonts w:ascii="Arial" w:hAnsi="Arial"/>
        <w:b/>
        <w:color w:val="FFFFFF"/>
        <w:sz w:val="22"/>
      </w:rPr>
      <w:tblPr/>
      <w:tcPr>
        <w:shd w:val="clear" w:color="5FCAF3" w:themeColor="accent4" w:themeTint="9A" w:fill="5FCAF3"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FCAF3" w:themeColor="accent4" w:themeTint="9A"/>
          <w:right w:val="single" w:sz="4" w:space="0" w:color="5FCAF3" w:themeColor="accent4" w:themeTint="9A"/>
        </w:tcBorders>
      </w:tcPr>
    </w:tblStylePr>
    <w:tblStylePr w:type="band1Horz">
      <w:rPr>
        <w:rFonts w:ascii="Arial" w:hAnsi="Arial"/>
        <w:color w:val="404040"/>
        <w:sz w:val="22"/>
      </w:rPr>
      <w:tblPr/>
      <w:tcPr>
        <w:tcBorders>
          <w:top w:val="single" w:sz="4" w:space="0" w:color="5FCAF3" w:themeColor="accent4" w:themeTint="9A"/>
          <w:bottom w:val="single" w:sz="4" w:space="0" w:color="5FCAF3" w:themeColor="accent4" w:themeTint="9A"/>
        </w:tcBorders>
      </w:tcPr>
    </w:tblStylePr>
  </w:style>
  <w:style w:type="table" w:customStyle="1" w:styleId="ListTable3-Accent5">
    <w:name w:val="List Table 3 - Accent 5"/>
    <w:basedOn w:val="NormaleTabelle"/>
    <w:uiPriority w:val="99"/>
    <w:pPr>
      <w:spacing w:after="0" w:line="240" w:lineRule="auto"/>
    </w:pPr>
    <w:tblPr>
      <w:tblStyleRowBandSize w:val="1"/>
      <w:tblStyleColBandSize w:val="1"/>
      <w:tblBorders>
        <w:top w:val="single" w:sz="4" w:space="0" w:color="D76CCB" w:themeColor="accent5" w:themeTint="9A"/>
        <w:left w:val="single" w:sz="4" w:space="0" w:color="D76CCB" w:themeColor="accent5" w:themeTint="9A"/>
        <w:bottom w:val="single" w:sz="4" w:space="0" w:color="D76CCB" w:themeColor="accent5" w:themeTint="9A"/>
        <w:right w:val="single" w:sz="4" w:space="0" w:color="D76CCB" w:themeColor="accent5" w:themeTint="9A"/>
      </w:tblBorders>
    </w:tblPr>
    <w:tblStylePr w:type="firstRow">
      <w:rPr>
        <w:rFonts w:ascii="Arial" w:hAnsi="Arial"/>
        <w:b/>
        <w:color w:val="FFFFFF"/>
        <w:sz w:val="22"/>
      </w:rPr>
      <w:tblPr/>
      <w:tcPr>
        <w:shd w:val="clear" w:color="D76CCB" w:themeColor="accent5" w:themeTint="9A" w:fill="D76CC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76CCB" w:themeColor="accent5" w:themeTint="9A"/>
          <w:right w:val="single" w:sz="4" w:space="0" w:color="D76CCB" w:themeColor="accent5" w:themeTint="9A"/>
        </w:tcBorders>
      </w:tcPr>
    </w:tblStylePr>
    <w:tblStylePr w:type="band1Horz">
      <w:rPr>
        <w:rFonts w:ascii="Arial" w:hAnsi="Arial"/>
        <w:color w:val="404040"/>
        <w:sz w:val="22"/>
      </w:rPr>
      <w:tblPr/>
      <w:tcPr>
        <w:tcBorders>
          <w:top w:val="single" w:sz="4" w:space="0" w:color="D76CCB" w:themeColor="accent5" w:themeTint="9A"/>
          <w:bottom w:val="single" w:sz="4" w:space="0" w:color="D76CCB" w:themeColor="accent5" w:themeTint="9A"/>
        </w:tcBorders>
      </w:tcPr>
    </w:tblStylePr>
  </w:style>
  <w:style w:type="table" w:customStyle="1" w:styleId="ListTable3-Accent6">
    <w:name w:val="List Table 3 - Accent 6"/>
    <w:basedOn w:val="NormaleTabelle"/>
    <w:uiPriority w:val="99"/>
    <w:pPr>
      <w:spacing w:after="0" w:line="240" w:lineRule="auto"/>
    </w:pPr>
    <w:tblPr>
      <w:tblStyleRowBandSize w:val="1"/>
      <w:tblStyleColBandSize w:val="1"/>
      <w:tblBorders>
        <w:top w:val="single" w:sz="4" w:space="0" w:color="8ED873" w:themeColor="accent6" w:themeTint="98"/>
        <w:left w:val="single" w:sz="4" w:space="0" w:color="8ED873" w:themeColor="accent6" w:themeTint="98"/>
        <w:bottom w:val="single" w:sz="4" w:space="0" w:color="8ED873" w:themeColor="accent6" w:themeTint="98"/>
        <w:right w:val="single" w:sz="4" w:space="0" w:color="8ED873" w:themeColor="accent6" w:themeTint="98"/>
      </w:tblBorders>
    </w:tblPr>
    <w:tblStylePr w:type="firstRow">
      <w:rPr>
        <w:rFonts w:ascii="Arial" w:hAnsi="Arial"/>
        <w:b/>
        <w:color w:val="FFFFFF"/>
        <w:sz w:val="22"/>
      </w:rPr>
      <w:tblPr/>
      <w:tcPr>
        <w:shd w:val="clear" w:color="8ED873" w:themeColor="accent6" w:themeTint="98" w:fill="8ED873"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ED873" w:themeColor="accent6" w:themeTint="98"/>
          <w:right w:val="single" w:sz="4" w:space="0" w:color="8ED873" w:themeColor="accent6" w:themeTint="98"/>
        </w:tcBorders>
      </w:tcPr>
    </w:tblStylePr>
    <w:tblStylePr w:type="band1Horz">
      <w:rPr>
        <w:rFonts w:ascii="Arial" w:hAnsi="Arial"/>
        <w:color w:val="404040"/>
        <w:sz w:val="22"/>
      </w:rPr>
      <w:tblPr/>
      <w:tcPr>
        <w:tcBorders>
          <w:top w:val="single" w:sz="4" w:space="0" w:color="8ED873" w:themeColor="accent6" w:themeTint="98"/>
          <w:bottom w:val="single" w:sz="4" w:space="0" w:color="8ED873" w:themeColor="accent6" w:themeTint="98"/>
        </w:tcBorders>
      </w:tcPr>
    </w:tblStylePr>
  </w:style>
  <w:style w:type="table" w:styleId="Listentabelle4">
    <w:name w:val="List Table 4"/>
    <w:basedOn w:val="NormaleTabelle"/>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NormaleTabelle"/>
    <w:uiPriority w:val="99"/>
    <w:pPr>
      <w:spacing w:after="0" w:line="240" w:lineRule="auto"/>
    </w:pPr>
    <w:tblPr>
      <w:tblStyleRowBandSize w:val="1"/>
      <w:tblStyleColBandSize w:val="1"/>
      <w:tblBorders>
        <w:top w:val="single" w:sz="4" w:space="0" w:color="50B4E2" w:themeColor="accent1" w:themeTint="90"/>
        <w:left w:val="single" w:sz="4" w:space="0" w:color="50B4E2" w:themeColor="accent1" w:themeTint="90"/>
        <w:bottom w:val="single" w:sz="4" w:space="0" w:color="50B4E2" w:themeColor="accent1" w:themeTint="90"/>
        <w:right w:val="single" w:sz="4" w:space="0" w:color="50B4E2" w:themeColor="accent1" w:themeTint="90"/>
        <w:insideH w:val="single" w:sz="4" w:space="0" w:color="50B4E2" w:themeColor="accent1" w:themeTint="90"/>
      </w:tblBorders>
    </w:tblPr>
    <w:tblStylePr w:type="firstRow">
      <w:rPr>
        <w:rFonts w:ascii="Arial" w:hAnsi="Arial"/>
        <w:b/>
        <w:color w:val="FFFFFF"/>
        <w:sz w:val="22"/>
      </w:rPr>
      <w:tblPr/>
      <w:tcPr>
        <w:shd w:val="clear" w:color="156082" w:themeColor="accent1" w:fill="156082"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1DEF2" w:themeColor="accent1" w:themeTint="40" w:fill="B1DEF2" w:themeFill="accent1" w:themeFillTint="40"/>
      </w:tcPr>
    </w:tblStylePr>
    <w:tblStylePr w:type="band1Horz">
      <w:rPr>
        <w:rFonts w:ascii="Arial" w:hAnsi="Arial"/>
        <w:color w:val="404040"/>
        <w:sz w:val="22"/>
      </w:rPr>
      <w:tblPr/>
      <w:tcPr>
        <w:shd w:val="clear" w:color="B1DEF2" w:themeColor="accent1" w:themeTint="40" w:fill="B1DEF2" w:themeFill="accent1" w:themeFillTint="40"/>
      </w:tcPr>
    </w:tblStylePr>
  </w:style>
  <w:style w:type="table" w:customStyle="1" w:styleId="ListTable4-Accent2">
    <w:name w:val="List Table 4 - Accent 2"/>
    <w:basedOn w:val="NormaleTabelle"/>
    <w:uiPriority w:val="99"/>
    <w:pPr>
      <w:spacing w:after="0" w:line="240" w:lineRule="auto"/>
    </w:pPr>
    <w:tblPr>
      <w:tblStyleRowBandSize w:val="1"/>
      <w:tblStyleColBandSize w:val="1"/>
      <w:tblBorders>
        <w:top w:val="single" w:sz="4" w:space="0" w:color="F2AE8B" w:themeColor="accent2" w:themeTint="90"/>
        <w:left w:val="single" w:sz="4" w:space="0" w:color="F2AE8B" w:themeColor="accent2" w:themeTint="90"/>
        <w:bottom w:val="single" w:sz="4" w:space="0" w:color="F2AE8B" w:themeColor="accent2" w:themeTint="90"/>
        <w:right w:val="single" w:sz="4" w:space="0" w:color="F2AE8B" w:themeColor="accent2" w:themeTint="90"/>
        <w:insideH w:val="single" w:sz="4" w:space="0" w:color="F2AE8B" w:themeColor="accent2" w:themeTint="90"/>
      </w:tblBorders>
    </w:tblPr>
    <w:tblStylePr w:type="firstRow">
      <w:rPr>
        <w:rFonts w:ascii="Arial" w:hAnsi="Arial"/>
        <w:b/>
        <w:color w:val="FFFFFF"/>
        <w:sz w:val="22"/>
      </w:rPr>
      <w:tblPr/>
      <w:tcPr>
        <w:shd w:val="clear" w:color="E97132" w:themeColor="accent2" w:fill="E97132"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9DBCB" w:themeColor="accent2" w:themeTint="40" w:fill="F9DBCB" w:themeFill="accent2" w:themeFillTint="40"/>
      </w:tcPr>
    </w:tblStylePr>
    <w:tblStylePr w:type="band1Horz">
      <w:rPr>
        <w:rFonts w:ascii="Arial" w:hAnsi="Arial"/>
        <w:color w:val="404040"/>
        <w:sz w:val="22"/>
      </w:rPr>
      <w:tblPr/>
      <w:tcPr>
        <w:shd w:val="clear" w:color="F9DBCB" w:themeColor="accent2" w:themeTint="40" w:fill="F9DBCB" w:themeFill="accent2" w:themeFillTint="40"/>
      </w:tcPr>
    </w:tblStylePr>
  </w:style>
  <w:style w:type="table" w:customStyle="1" w:styleId="ListTable4-Accent3">
    <w:name w:val="List Table 4 - Accent 3"/>
    <w:basedOn w:val="NormaleTabelle"/>
    <w:uiPriority w:val="99"/>
    <w:pPr>
      <w:spacing w:after="0" w:line="240" w:lineRule="auto"/>
    </w:pPr>
    <w:tblPr>
      <w:tblStyleRowBandSize w:val="1"/>
      <w:tblStyleColBandSize w:val="1"/>
      <w:tblBorders>
        <w:top w:val="single" w:sz="4" w:space="0" w:color="51D663" w:themeColor="accent3" w:themeTint="90"/>
        <w:left w:val="single" w:sz="4" w:space="0" w:color="51D663" w:themeColor="accent3" w:themeTint="90"/>
        <w:bottom w:val="single" w:sz="4" w:space="0" w:color="51D663" w:themeColor="accent3" w:themeTint="90"/>
        <w:right w:val="single" w:sz="4" w:space="0" w:color="51D663" w:themeColor="accent3" w:themeTint="90"/>
        <w:insideH w:val="single" w:sz="4" w:space="0" w:color="51D663" w:themeColor="accent3" w:themeTint="90"/>
      </w:tblBorders>
    </w:tblPr>
    <w:tblStylePr w:type="firstRow">
      <w:rPr>
        <w:rFonts w:ascii="Arial" w:hAnsi="Arial"/>
        <w:b/>
        <w:color w:val="FFFFFF"/>
        <w:sz w:val="22"/>
      </w:rPr>
      <w:tblPr/>
      <w:tcPr>
        <w:shd w:val="clear" w:color="196B24" w:themeColor="accent3" w:fill="196B24"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2EDB9" w:themeColor="accent3" w:themeTint="40" w:fill="B2EDB9" w:themeFill="accent3" w:themeFillTint="40"/>
      </w:tcPr>
    </w:tblStylePr>
    <w:tblStylePr w:type="band1Horz">
      <w:rPr>
        <w:rFonts w:ascii="Arial" w:hAnsi="Arial"/>
        <w:color w:val="404040"/>
        <w:sz w:val="22"/>
      </w:rPr>
      <w:tblPr/>
      <w:tcPr>
        <w:shd w:val="clear" w:color="B2EDB9" w:themeColor="accent3" w:themeTint="40" w:fill="B2EDB9" w:themeFill="accent3" w:themeFillTint="40"/>
      </w:tcPr>
    </w:tblStylePr>
  </w:style>
  <w:style w:type="table" w:customStyle="1" w:styleId="ListTable4-Accent4">
    <w:name w:val="List Table 4 - Accent 4"/>
    <w:basedOn w:val="NormaleTabelle"/>
    <w:uiPriority w:val="99"/>
    <w:pPr>
      <w:spacing w:after="0" w:line="240" w:lineRule="auto"/>
    </w:pPr>
    <w:tblPr>
      <w:tblStyleRowBandSize w:val="1"/>
      <w:tblStyleColBandSize w:val="1"/>
      <w:tblBorders>
        <w:top w:val="single" w:sz="4" w:space="0" w:color="6ACDF4" w:themeColor="accent4" w:themeTint="90"/>
        <w:left w:val="single" w:sz="4" w:space="0" w:color="6ACDF4" w:themeColor="accent4" w:themeTint="90"/>
        <w:bottom w:val="single" w:sz="4" w:space="0" w:color="6ACDF4" w:themeColor="accent4" w:themeTint="90"/>
        <w:right w:val="single" w:sz="4" w:space="0" w:color="6ACDF4" w:themeColor="accent4" w:themeTint="90"/>
        <w:insideH w:val="single" w:sz="4" w:space="0" w:color="6ACDF4" w:themeColor="accent4" w:themeTint="90"/>
      </w:tblBorders>
    </w:tblPr>
    <w:tblStylePr w:type="firstRow">
      <w:rPr>
        <w:rFonts w:ascii="Arial" w:hAnsi="Arial"/>
        <w:b/>
        <w:color w:val="FFFFFF"/>
        <w:sz w:val="22"/>
      </w:rPr>
      <w:tblPr/>
      <w:tcPr>
        <w:shd w:val="clear" w:color="0F9ED5" w:themeColor="accent4" w:fill="0F9ED5"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CE9FA" w:themeColor="accent4" w:themeTint="40" w:fill="BCE9FA" w:themeFill="accent4" w:themeFillTint="40"/>
      </w:tcPr>
    </w:tblStylePr>
    <w:tblStylePr w:type="band1Horz">
      <w:rPr>
        <w:rFonts w:ascii="Arial" w:hAnsi="Arial"/>
        <w:color w:val="404040"/>
        <w:sz w:val="22"/>
      </w:rPr>
      <w:tblPr/>
      <w:tcPr>
        <w:shd w:val="clear" w:color="BCE9FA" w:themeColor="accent4" w:themeTint="40" w:fill="BCE9FA" w:themeFill="accent4" w:themeFillTint="40"/>
      </w:tcPr>
    </w:tblStylePr>
  </w:style>
  <w:style w:type="table" w:customStyle="1" w:styleId="ListTable4-Accent5">
    <w:name w:val="List Table 4 - Accent 5"/>
    <w:basedOn w:val="NormaleTabelle"/>
    <w:uiPriority w:val="99"/>
    <w:pPr>
      <w:spacing w:after="0" w:line="240" w:lineRule="auto"/>
    </w:pPr>
    <w:tblPr>
      <w:tblStyleRowBandSize w:val="1"/>
      <w:tblStyleColBandSize w:val="1"/>
      <w:tblBorders>
        <w:top w:val="single" w:sz="4" w:space="0" w:color="DA76CE" w:themeColor="accent5" w:themeTint="90"/>
        <w:left w:val="single" w:sz="4" w:space="0" w:color="DA76CE" w:themeColor="accent5" w:themeTint="90"/>
        <w:bottom w:val="single" w:sz="4" w:space="0" w:color="DA76CE" w:themeColor="accent5" w:themeTint="90"/>
        <w:right w:val="single" w:sz="4" w:space="0" w:color="DA76CE" w:themeColor="accent5" w:themeTint="90"/>
        <w:insideH w:val="single" w:sz="4" w:space="0" w:color="DA76CE" w:themeColor="accent5" w:themeTint="90"/>
      </w:tblBorders>
    </w:tblPr>
    <w:tblStylePr w:type="firstRow">
      <w:rPr>
        <w:rFonts w:ascii="Arial" w:hAnsi="Arial"/>
        <w:b/>
        <w:color w:val="FFFFFF"/>
        <w:sz w:val="22"/>
      </w:rPr>
      <w:tblPr/>
      <w:tcPr>
        <w:shd w:val="clear" w:color="A02B93" w:themeColor="accent5" w:fill="A02B93"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EC2E9" w:themeColor="accent5" w:themeTint="40" w:fill="EEC2E9" w:themeFill="accent5" w:themeFillTint="40"/>
      </w:tcPr>
    </w:tblStylePr>
    <w:tblStylePr w:type="band1Horz">
      <w:rPr>
        <w:rFonts w:ascii="Arial" w:hAnsi="Arial"/>
        <w:color w:val="404040"/>
        <w:sz w:val="22"/>
      </w:rPr>
      <w:tblPr/>
      <w:tcPr>
        <w:shd w:val="clear" w:color="EEC2E9" w:themeColor="accent5" w:themeTint="40" w:fill="EEC2E9" w:themeFill="accent5" w:themeFillTint="40"/>
      </w:tcPr>
    </w:tblStylePr>
  </w:style>
  <w:style w:type="table" w:customStyle="1" w:styleId="ListTable4-Accent6">
    <w:name w:val="List Table 4 - Accent 6"/>
    <w:basedOn w:val="NormaleTabelle"/>
    <w:uiPriority w:val="99"/>
    <w:pPr>
      <w:spacing w:after="0" w:line="240" w:lineRule="auto"/>
    </w:pPr>
    <w:tblPr>
      <w:tblStyleRowBandSize w:val="1"/>
      <w:tblStyleColBandSize w:val="1"/>
      <w:tblBorders>
        <w:top w:val="single" w:sz="4" w:space="0" w:color="94DA7B" w:themeColor="accent6" w:themeTint="90"/>
        <w:left w:val="single" w:sz="4" w:space="0" w:color="94DA7B" w:themeColor="accent6" w:themeTint="90"/>
        <w:bottom w:val="single" w:sz="4" w:space="0" w:color="94DA7B" w:themeColor="accent6" w:themeTint="90"/>
        <w:right w:val="single" w:sz="4" w:space="0" w:color="94DA7B" w:themeColor="accent6" w:themeTint="90"/>
        <w:insideH w:val="single" w:sz="4" w:space="0" w:color="94DA7B" w:themeColor="accent6" w:themeTint="90"/>
      </w:tblBorders>
    </w:tblPr>
    <w:tblStylePr w:type="firstRow">
      <w:rPr>
        <w:rFonts w:ascii="Arial" w:hAnsi="Arial"/>
        <w:b/>
        <w:color w:val="FFFFFF"/>
        <w:sz w:val="22"/>
      </w:rPr>
      <w:tblPr/>
      <w:tcPr>
        <w:shd w:val="clear" w:color="4EA72E" w:themeColor="accent6" w:fill="4EA72E"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EFC4" w:themeColor="accent6" w:themeTint="40" w:fill="CFEFC4" w:themeFill="accent6" w:themeFillTint="40"/>
      </w:tcPr>
    </w:tblStylePr>
    <w:tblStylePr w:type="band1Horz">
      <w:rPr>
        <w:rFonts w:ascii="Arial" w:hAnsi="Arial"/>
        <w:color w:val="404040"/>
        <w:sz w:val="22"/>
      </w:rPr>
      <w:tblPr/>
      <w:tcPr>
        <w:shd w:val="clear" w:color="CFEFC4" w:themeColor="accent6" w:themeTint="40" w:fill="CFEFC4" w:themeFill="accent6" w:themeFillTint="40"/>
      </w:tcPr>
    </w:tblStylePr>
  </w:style>
  <w:style w:type="table" w:styleId="Listentabelle5dunkel">
    <w:name w:val="List Table 5 Dark"/>
    <w:basedOn w:val="NormaleTabelle"/>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NormaleTabelle"/>
    <w:uiPriority w:val="99"/>
    <w:pPr>
      <w:spacing w:after="0" w:line="240" w:lineRule="auto"/>
    </w:pPr>
    <w:tblPr>
      <w:tblStyleRowBandSize w:val="1"/>
      <w:tblStyleColBandSize w:val="1"/>
      <w:tblBorders>
        <w:top w:val="single" w:sz="32" w:space="0" w:color="156082" w:themeColor="accent1"/>
        <w:left w:val="single" w:sz="32" w:space="0" w:color="156082" w:themeColor="accent1"/>
        <w:bottom w:val="single" w:sz="32" w:space="0" w:color="156082" w:themeColor="accent1"/>
        <w:right w:val="single" w:sz="32" w:space="0" w:color="156082" w:themeColor="accent1"/>
      </w:tblBorders>
      <w:shd w:val="clear" w:color="156082" w:themeColor="accent1" w:fill="156082" w:themeFill="accent1"/>
    </w:tblPr>
    <w:tblStylePr w:type="firstRow">
      <w:rPr>
        <w:rFonts w:ascii="Arial" w:hAnsi="Arial"/>
        <w:b/>
        <w:color w:val="FFFFFF" w:themeColor="light1"/>
        <w:sz w:val="22"/>
      </w:rPr>
      <w:tblPr/>
      <w:tcPr>
        <w:tcBorders>
          <w:top w:val="single" w:sz="32" w:space="0" w:color="156082" w:themeColor="accent1"/>
          <w:bottom w:val="single" w:sz="12" w:space="0" w:color="FFFFFF" w:themeColor="light1"/>
        </w:tcBorders>
        <w:shd w:val="clear" w:color="156082" w:themeColor="accent1" w:fill="156082"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156082" w:themeColor="accent1"/>
          <w:right w:val="single" w:sz="4" w:space="0" w:color="FFFFFF" w:themeColor="light1"/>
        </w:tcBorders>
      </w:tcPr>
    </w:tblStylePr>
    <w:tblStylePr w:type="lastCol">
      <w:tblPr/>
      <w:tcPr>
        <w:tcBorders>
          <w:left w:val="single" w:sz="4" w:space="0" w:color="FFFFFF" w:themeColor="light1"/>
          <w:right w:val="single" w:sz="32" w:space="0" w:color="156082" w:themeColor="accent1"/>
        </w:tcBorders>
      </w:tcPr>
    </w:tblStylePr>
    <w:tblStylePr w:type="band1Vert">
      <w:tblPr/>
      <w:tcPr>
        <w:tcBorders>
          <w:left w:val="single" w:sz="4" w:space="0" w:color="FFFFFF" w:themeColor="light1"/>
          <w:right w:val="single" w:sz="4" w:space="0" w:color="FFFFFF" w:themeColor="light1"/>
        </w:tcBorders>
        <w:shd w:val="clear" w:color="156082" w:themeColor="accent1" w:fill="156082"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156082" w:themeColor="accent1" w:fill="156082" w:themeFill="accent1"/>
      </w:tcPr>
    </w:tblStylePr>
    <w:tblStylePr w:type="band2Horz">
      <w:tblPr/>
      <w:tcPr>
        <w:tcBorders>
          <w:top w:val="single" w:sz="4" w:space="0" w:color="FFFFFF" w:themeColor="light1"/>
          <w:bottom w:val="single" w:sz="4" w:space="0" w:color="FFFFFF" w:themeColor="light1"/>
        </w:tcBorders>
        <w:shd w:val="clear" w:color="156082" w:themeColor="accent1" w:fill="156082" w:themeFill="accent1"/>
      </w:tcPr>
    </w:tblStylePr>
  </w:style>
  <w:style w:type="table" w:customStyle="1" w:styleId="ListTable5Dark-Accent2">
    <w:name w:val="List Table 5 Dark - Accent 2"/>
    <w:basedOn w:val="NormaleTabelle"/>
    <w:uiPriority w:val="99"/>
    <w:pPr>
      <w:spacing w:after="0" w:line="240" w:lineRule="auto"/>
    </w:pPr>
    <w:tblPr>
      <w:tblStyleRowBandSize w:val="1"/>
      <w:tblStyleColBandSize w:val="1"/>
      <w:tblBorders>
        <w:top w:val="single" w:sz="32" w:space="0" w:color="F2AA85" w:themeColor="accent2" w:themeTint="97"/>
        <w:left w:val="single" w:sz="32" w:space="0" w:color="F2AA85" w:themeColor="accent2" w:themeTint="97"/>
        <w:bottom w:val="single" w:sz="32" w:space="0" w:color="F2AA85" w:themeColor="accent2" w:themeTint="97"/>
        <w:right w:val="single" w:sz="32" w:space="0" w:color="F2AA85" w:themeColor="accent2" w:themeTint="97"/>
      </w:tblBorders>
      <w:shd w:val="clear" w:color="F2AA85" w:themeColor="accent2" w:themeTint="97" w:fill="F2AA85" w:themeFill="accent2" w:themeFillTint="97"/>
    </w:tblPr>
    <w:tblStylePr w:type="firstRow">
      <w:rPr>
        <w:rFonts w:ascii="Arial" w:hAnsi="Arial"/>
        <w:b/>
        <w:color w:val="FFFFFF" w:themeColor="light1"/>
        <w:sz w:val="22"/>
      </w:rPr>
      <w:tblPr/>
      <w:tcPr>
        <w:tcBorders>
          <w:top w:val="single" w:sz="32" w:space="0" w:color="F2AA85" w:themeColor="accent2" w:themeTint="97"/>
          <w:bottom w:val="single" w:sz="12" w:space="0" w:color="FFFFFF" w:themeColor="light1"/>
        </w:tcBorders>
        <w:shd w:val="clear" w:color="F2AA85" w:themeColor="accent2" w:themeTint="97" w:fill="F2AA8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2AA85" w:themeColor="accent2" w:themeTint="97"/>
          <w:right w:val="single" w:sz="4" w:space="0" w:color="FFFFFF" w:themeColor="light1"/>
        </w:tcBorders>
      </w:tcPr>
    </w:tblStylePr>
    <w:tblStylePr w:type="lastCol">
      <w:tblPr/>
      <w:tcPr>
        <w:tcBorders>
          <w:left w:val="single" w:sz="4" w:space="0" w:color="FFFFFF" w:themeColor="light1"/>
          <w:right w:val="single" w:sz="32" w:space="0" w:color="F2AA85" w:themeColor="accent2" w:themeTint="97"/>
        </w:tcBorders>
      </w:tcPr>
    </w:tblStylePr>
    <w:tblStylePr w:type="band1Vert">
      <w:tblPr/>
      <w:tcPr>
        <w:tcBorders>
          <w:left w:val="single" w:sz="4" w:space="0" w:color="FFFFFF" w:themeColor="light1"/>
          <w:right w:val="single" w:sz="4" w:space="0" w:color="FFFFFF" w:themeColor="light1"/>
        </w:tcBorders>
        <w:shd w:val="clear" w:color="F2AA85" w:themeColor="accent2" w:themeTint="97" w:fill="F2AA8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2AA85" w:themeColor="accent2" w:themeTint="97" w:fill="F2AA85" w:themeFill="accent2" w:themeFillTint="97"/>
      </w:tcPr>
    </w:tblStylePr>
    <w:tblStylePr w:type="band2Horz">
      <w:tblPr/>
      <w:tcPr>
        <w:tcBorders>
          <w:top w:val="single" w:sz="4" w:space="0" w:color="FFFFFF" w:themeColor="light1"/>
          <w:bottom w:val="single" w:sz="4" w:space="0" w:color="FFFFFF" w:themeColor="light1"/>
        </w:tcBorders>
        <w:shd w:val="clear" w:color="F2AA85" w:themeColor="accent2" w:themeTint="97" w:fill="F2AA85" w:themeFill="accent2" w:themeFillTint="97"/>
      </w:tcPr>
    </w:tblStylePr>
  </w:style>
  <w:style w:type="table" w:customStyle="1" w:styleId="ListTable5Dark-Accent3">
    <w:name w:val="List Table 5 Dark - Accent 3"/>
    <w:basedOn w:val="NormaleTabelle"/>
    <w:uiPriority w:val="99"/>
    <w:pPr>
      <w:spacing w:after="0" w:line="240" w:lineRule="auto"/>
    </w:pPr>
    <w:tblPr>
      <w:tblStyleRowBandSize w:val="1"/>
      <w:tblStyleColBandSize w:val="1"/>
      <w:tblBorders>
        <w:top w:val="single" w:sz="32" w:space="0" w:color="48D45B" w:themeColor="accent3" w:themeTint="98"/>
        <w:left w:val="single" w:sz="32" w:space="0" w:color="48D45B" w:themeColor="accent3" w:themeTint="98"/>
        <w:bottom w:val="single" w:sz="32" w:space="0" w:color="48D45B" w:themeColor="accent3" w:themeTint="98"/>
        <w:right w:val="single" w:sz="32" w:space="0" w:color="48D45B" w:themeColor="accent3" w:themeTint="98"/>
      </w:tblBorders>
      <w:shd w:val="clear" w:color="48D45B" w:themeColor="accent3" w:themeTint="98" w:fill="48D45B" w:themeFill="accent3" w:themeFillTint="98"/>
    </w:tblPr>
    <w:tblStylePr w:type="firstRow">
      <w:rPr>
        <w:rFonts w:ascii="Arial" w:hAnsi="Arial"/>
        <w:b/>
        <w:color w:val="FFFFFF" w:themeColor="light1"/>
        <w:sz w:val="22"/>
      </w:rPr>
      <w:tblPr/>
      <w:tcPr>
        <w:tcBorders>
          <w:top w:val="single" w:sz="32" w:space="0" w:color="48D45B" w:themeColor="accent3" w:themeTint="98"/>
          <w:bottom w:val="single" w:sz="12" w:space="0" w:color="FFFFFF" w:themeColor="light1"/>
        </w:tcBorders>
        <w:shd w:val="clear" w:color="48D45B" w:themeColor="accent3" w:themeTint="98" w:fill="48D45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8D45B" w:themeColor="accent3" w:themeTint="98"/>
          <w:right w:val="single" w:sz="4" w:space="0" w:color="FFFFFF" w:themeColor="light1"/>
        </w:tcBorders>
      </w:tcPr>
    </w:tblStylePr>
    <w:tblStylePr w:type="lastCol">
      <w:tblPr/>
      <w:tcPr>
        <w:tcBorders>
          <w:left w:val="single" w:sz="4" w:space="0" w:color="FFFFFF" w:themeColor="light1"/>
          <w:right w:val="single" w:sz="32" w:space="0" w:color="48D45B" w:themeColor="accent3" w:themeTint="98"/>
        </w:tcBorders>
      </w:tcPr>
    </w:tblStylePr>
    <w:tblStylePr w:type="band1Vert">
      <w:tblPr/>
      <w:tcPr>
        <w:tcBorders>
          <w:left w:val="single" w:sz="4" w:space="0" w:color="FFFFFF" w:themeColor="light1"/>
          <w:right w:val="single" w:sz="4" w:space="0" w:color="FFFFFF" w:themeColor="light1"/>
        </w:tcBorders>
        <w:shd w:val="clear" w:color="48D45B" w:themeColor="accent3" w:themeTint="98" w:fill="48D45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8D45B" w:themeColor="accent3" w:themeTint="98" w:fill="48D45B" w:themeFill="accent3" w:themeFillTint="98"/>
      </w:tcPr>
    </w:tblStylePr>
    <w:tblStylePr w:type="band2Horz">
      <w:tblPr/>
      <w:tcPr>
        <w:tcBorders>
          <w:top w:val="single" w:sz="4" w:space="0" w:color="FFFFFF" w:themeColor="light1"/>
          <w:bottom w:val="single" w:sz="4" w:space="0" w:color="FFFFFF" w:themeColor="light1"/>
        </w:tcBorders>
        <w:shd w:val="clear" w:color="48D45B" w:themeColor="accent3" w:themeTint="98" w:fill="48D45B" w:themeFill="accent3" w:themeFillTint="98"/>
      </w:tcPr>
    </w:tblStylePr>
  </w:style>
  <w:style w:type="table" w:customStyle="1" w:styleId="ListTable5Dark-Accent4">
    <w:name w:val="List Table 5 Dark - Accent 4"/>
    <w:basedOn w:val="NormaleTabelle"/>
    <w:uiPriority w:val="99"/>
    <w:pPr>
      <w:spacing w:after="0" w:line="240" w:lineRule="auto"/>
    </w:pPr>
    <w:tblPr>
      <w:tblStyleRowBandSize w:val="1"/>
      <w:tblStyleColBandSize w:val="1"/>
      <w:tblBorders>
        <w:top w:val="single" w:sz="32" w:space="0" w:color="5FCAF3" w:themeColor="accent4" w:themeTint="9A"/>
        <w:left w:val="single" w:sz="32" w:space="0" w:color="5FCAF3" w:themeColor="accent4" w:themeTint="9A"/>
        <w:bottom w:val="single" w:sz="32" w:space="0" w:color="5FCAF3" w:themeColor="accent4" w:themeTint="9A"/>
        <w:right w:val="single" w:sz="32" w:space="0" w:color="5FCAF3" w:themeColor="accent4" w:themeTint="9A"/>
      </w:tblBorders>
      <w:shd w:val="clear" w:color="5FCAF3" w:themeColor="accent4" w:themeTint="9A" w:fill="5FCAF3" w:themeFill="accent4" w:themeFillTint="9A"/>
    </w:tblPr>
    <w:tblStylePr w:type="firstRow">
      <w:rPr>
        <w:rFonts w:ascii="Arial" w:hAnsi="Arial"/>
        <w:b/>
        <w:color w:val="FFFFFF" w:themeColor="light1"/>
        <w:sz w:val="22"/>
      </w:rPr>
      <w:tblPr/>
      <w:tcPr>
        <w:tcBorders>
          <w:top w:val="single" w:sz="32" w:space="0" w:color="5FCAF3" w:themeColor="accent4" w:themeTint="9A"/>
          <w:bottom w:val="single" w:sz="12" w:space="0" w:color="FFFFFF" w:themeColor="light1"/>
        </w:tcBorders>
        <w:shd w:val="clear" w:color="5FCAF3" w:themeColor="accent4" w:themeTint="9A" w:fill="5FCAF3"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FCAF3" w:themeColor="accent4" w:themeTint="9A"/>
          <w:right w:val="single" w:sz="4" w:space="0" w:color="FFFFFF" w:themeColor="light1"/>
        </w:tcBorders>
      </w:tcPr>
    </w:tblStylePr>
    <w:tblStylePr w:type="lastCol">
      <w:tblPr/>
      <w:tcPr>
        <w:tcBorders>
          <w:left w:val="single" w:sz="4" w:space="0" w:color="FFFFFF" w:themeColor="light1"/>
          <w:right w:val="single" w:sz="32" w:space="0" w:color="5FCAF3" w:themeColor="accent4" w:themeTint="9A"/>
        </w:tcBorders>
      </w:tcPr>
    </w:tblStylePr>
    <w:tblStylePr w:type="band1Vert">
      <w:tblPr/>
      <w:tcPr>
        <w:tcBorders>
          <w:left w:val="single" w:sz="4" w:space="0" w:color="FFFFFF" w:themeColor="light1"/>
          <w:right w:val="single" w:sz="4" w:space="0" w:color="FFFFFF" w:themeColor="light1"/>
        </w:tcBorders>
        <w:shd w:val="clear" w:color="5FCAF3" w:themeColor="accent4" w:themeTint="9A" w:fill="5FCAF3"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FCAF3" w:themeColor="accent4" w:themeTint="9A" w:fill="5FCAF3" w:themeFill="accent4" w:themeFillTint="9A"/>
      </w:tcPr>
    </w:tblStylePr>
    <w:tblStylePr w:type="band2Horz">
      <w:tblPr/>
      <w:tcPr>
        <w:tcBorders>
          <w:top w:val="single" w:sz="4" w:space="0" w:color="FFFFFF" w:themeColor="light1"/>
          <w:bottom w:val="single" w:sz="4" w:space="0" w:color="FFFFFF" w:themeColor="light1"/>
        </w:tcBorders>
        <w:shd w:val="clear" w:color="5FCAF3" w:themeColor="accent4" w:themeTint="9A" w:fill="5FCAF3" w:themeFill="accent4" w:themeFillTint="9A"/>
      </w:tcPr>
    </w:tblStylePr>
  </w:style>
  <w:style w:type="table" w:customStyle="1" w:styleId="ListTable5Dark-Accent5">
    <w:name w:val="List Table 5 Dark - Accent 5"/>
    <w:basedOn w:val="NormaleTabelle"/>
    <w:uiPriority w:val="99"/>
    <w:pPr>
      <w:spacing w:after="0" w:line="240" w:lineRule="auto"/>
    </w:pPr>
    <w:tblPr>
      <w:tblStyleRowBandSize w:val="1"/>
      <w:tblStyleColBandSize w:val="1"/>
      <w:tblBorders>
        <w:top w:val="single" w:sz="32" w:space="0" w:color="D76CCB" w:themeColor="accent5" w:themeTint="9A"/>
        <w:left w:val="single" w:sz="32" w:space="0" w:color="D76CCB" w:themeColor="accent5" w:themeTint="9A"/>
        <w:bottom w:val="single" w:sz="32" w:space="0" w:color="D76CCB" w:themeColor="accent5" w:themeTint="9A"/>
        <w:right w:val="single" w:sz="32" w:space="0" w:color="D76CCB" w:themeColor="accent5" w:themeTint="9A"/>
      </w:tblBorders>
      <w:shd w:val="clear" w:color="D76CCB" w:themeColor="accent5" w:themeTint="9A" w:fill="D76CCB" w:themeFill="accent5" w:themeFillTint="9A"/>
    </w:tblPr>
    <w:tblStylePr w:type="firstRow">
      <w:rPr>
        <w:rFonts w:ascii="Arial" w:hAnsi="Arial"/>
        <w:b/>
        <w:color w:val="FFFFFF" w:themeColor="light1"/>
        <w:sz w:val="22"/>
      </w:rPr>
      <w:tblPr/>
      <w:tcPr>
        <w:tcBorders>
          <w:top w:val="single" w:sz="32" w:space="0" w:color="D76CCB" w:themeColor="accent5" w:themeTint="9A"/>
          <w:bottom w:val="single" w:sz="12" w:space="0" w:color="FFFFFF" w:themeColor="light1"/>
        </w:tcBorders>
        <w:shd w:val="clear" w:color="D76CCB" w:themeColor="accent5" w:themeTint="9A" w:fill="D76CC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76CCB" w:themeColor="accent5" w:themeTint="9A"/>
          <w:right w:val="single" w:sz="4" w:space="0" w:color="FFFFFF" w:themeColor="light1"/>
        </w:tcBorders>
      </w:tcPr>
    </w:tblStylePr>
    <w:tblStylePr w:type="lastCol">
      <w:tblPr/>
      <w:tcPr>
        <w:tcBorders>
          <w:left w:val="single" w:sz="4" w:space="0" w:color="FFFFFF" w:themeColor="light1"/>
          <w:right w:val="single" w:sz="32" w:space="0" w:color="D76CCB" w:themeColor="accent5" w:themeTint="9A"/>
        </w:tcBorders>
      </w:tcPr>
    </w:tblStylePr>
    <w:tblStylePr w:type="band1Vert">
      <w:tblPr/>
      <w:tcPr>
        <w:tcBorders>
          <w:left w:val="single" w:sz="4" w:space="0" w:color="FFFFFF" w:themeColor="light1"/>
          <w:right w:val="single" w:sz="4" w:space="0" w:color="FFFFFF" w:themeColor="light1"/>
        </w:tcBorders>
        <w:shd w:val="clear" w:color="D76CCB" w:themeColor="accent5" w:themeTint="9A" w:fill="D76CC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76CCB" w:themeColor="accent5" w:themeTint="9A" w:fill="D76CCB" w:themeFill="accent5" w:themeFillTint="9A"/>
      </w:tcPr>
    </w:tblStylePr>
    <w:tblStylePr w:type="band2Horz">
      <w:tblPr/>
      <w:tcPr>
        <w:tcBorders>
          <w:top w:val="single" w:sz="4" w:space="0" w:color="FFFFFF" w:themeColor="light1"/>
          <w:bottom w:val="single" w:sz="4" w:space="0" w:color="FFFFFF" w:themeColor="light1"/>
        </w:tcBorders>
        <w:shd w:val="clear" w:color="D76CCB" w:themeColor="accent5" w:themeTint="9A" w:fill="D76CCB" w:themeFill="accent5" w:themeFillTint="9A"/>
      </w:tcPr>
    </w:tblStylePr>
  </w:style>
  <w:style w:type="table" w:customStyle="1" w:styleId="ListTable5Dark-Accent6">
    <w:name w:val="List Table 5 Dark - Accent 6"/>
    <w:basedOn w:val="NormaleTabelle"/>
    <w:uiPriority w:val="99"/>
    <w:pPr>
      <w:spacing w:after="0" w:line="240" w:lineRule="auto"/>
    </w:pPr>
    <w:tblPr>
      <w:tblStyleRowBandSize w:val="1"/>
      <w:tblStyleColBandSize w:val="1"/>
      <w:tblBorders>
        <w:top w:val="single" w:sz="32" w:space="0" w:color="8ED873" w:themeColor="accent6" w:themeTint="98"/>
        <w:left w:val="single" w:sz="32" w:space="0" w:color="8ED873" w:themeColor="accent6" w:themeTint="98"/>
        <w:bottom w:val="single" w:sz="32" w:space="0" w:color="8ED873" w:themeColor="accent6" w:themeTint="98"/>
        <w:right w:val="single" w:sz="32" w:space="0" w:color="8ED873" w:themeColor="accent6" w:themeTint="98"/>
      </w:tblBorders>
      <w:shd w:val="clear" w:color="8ED873" w:themeColor="accent6" w:themeTint="98" w:fill="8ED873" w:themeFill="accent6" w:themeFillTint="98"/>
    </w:tblPr>
    <w:tblStylePr w:type="firstRow">
      <w:rPr>
        <w:rFonts w:ascii="Arial" w:hAnsi="Arial"/>
        <w:b/>
        <w:color w:val="FFFFFF" w:themeColor="light1"/>
        <w:sz w:val="22"/>
      </w:rPr>
      <w:tblPr/>
      <w:tcPr>
        <w:tcBorders>
          <w:top w:val="single" w:sz="32" w:space="0" w:color="8ED873" w:themeColor="accent6" w:themeTint="98"/>
          <w:bottom w:val="single" w:sz="12" w:space="0" w:color="FFFFFF" w:themeColor="light1"/>
        </w:tcBorders>
        <w:shd w:val="clear" w:color="8ED873" w:themeColor="accent6" w:themeTint="98" w:fill="8ED873"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ED873" w:themeColor="accent6" w:themeTint="98"/>
          <w:right w:val="single" w:sz="4" w:space="0" w:color="FFFFFF" w:themeColor="light1"/>
        </w:tcBorders>
      </w:tcPr>
    </w:tblStylePr>
    <w:tblStylePr w:type="lastCol">
      <w:tblPr/>
      <w:tcPr>
        <w:tcBorders>
          <w:left w:val="single" w:sz="4" w:space="0" w:color="FFFFFF" w:themeColor="light1"/>
          <w:right w:val="single" w:sz="32" w:space="0" w:color="8ED873" w:themeColor="accent6" w:themeTint="98"/>
        </w:tcBorders>
      </w:tcPr>
    </w:tblStylePr>
    <w:tblStylePr w:type="band1Vert">
      <w:tblPr/>
      <w:tcPr>
        <w:tcBorders>
          <w:left w:val="single" w:sz="4" w:space="0" w:color="FFFFFF" w:themeColor="light1"/>
          <w:right w:val="single" w:sz="4" w:space="0" w:color="FFFFFF" w:themeColor="light1"/>
        </w:tcBorders>
        <w:shd w:val="clear" w:color="8ED873" w:themeColor="accent6" w:themeTint="98" w:fill="8ED873"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ED873" w:themeColor="accent6" w:themeTint="98" w:fill="8ED873" w:themeFill="accent6" w:themeFillTint="98"/>
      </w:tcPr>
    </w:tblStylePr>
    <w:tblStylePr w:type="band2Horz">
      <w:tblPr/>
      <w:tcPr>
        <w:tcBorders>
          <w:top w:val="single" w:sz="4" w:space="0" w:color="FFFFFF" w:themeColor="light1"/>
          <w:bottom w:val="single" w:sz="4" w:space="0" w:color="FFFFFF" w:themeColor="light1"/>
        </w:tcBorders>
        <w:shd w:val="clear" w:color="8ED873" w:themeColor="accent6" w:themeTint="98" w:fill="8ED873" w:themeFill="accent6" w:themeFillTint="98"/>
      </w:tcPr>
    </w:tblStylePr>
  </w:style>
  <w:style w:type="table" w:styleId="Listentabelle6farbig">
    <w:name w:val="List Table 6 Colorful"/>
    <w:basedOn w:val="NormaleTabelle"/>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NormaleTabelle"/>
    <w:uiPriority w:val="99"/>
    <w:pPr>
      <w:spacing w:after="0" w:line="240" w:lineRule="auto"/>
    </w:pPr>
    <w:tblPr>
      <w:tblStyleRowBandSize w:val="1"/>
      <w:tblStyleColBandSize w:val="1"/>
      <w:tblBorders>
        <w:top w:val="single" w:sz="4" w:space="0" w:color="156082" w:themeColor="accent1"/>
        <w:bottom w:val="single" w:sz="4" w:space="0" w:color="156082" w:themeColor="accent1"/>
      </w:tblBorders>
    </w:tblPr>
    <w:tblStylePr w:type="firstRow">
      <w:rPr>
        <w:b/>
        <w:color w:val="0C374B" w:themeColor="accent1" w:themeShade="95"/>
      </w:rPr>
      <w:tblPr/>
      <w:tcPr>
        <w:tcBorders>
          <w:bottom w:val="single" w:sz="4" w:space="0" w:color="156082" w:themeColor="accent1"/>
        </w:tcBorders>
      </w:tcPr>
    </w:tblStylePr>
    <w:tblStylePr w:type="lastRow">
      <w:rPr>
        <w:b/>
        <w:color w:val="0C374B" w:themeColor="accent1" w:themeShade="95"/>
      </w:rPr>
      <w:tblPr/>
      <w:tcPr>
        <w:tcBorders>
          <w:top w:val="single" w:sz="4" w:space="0" w:color="156082" w:themeColor="accent1"/>
        </w:tcBorders>
      </w:tcPr>
    </w:tblStylePr>
    <w:tblStylePr w:type="firstCol">
      <w:rPr>
        <w:b/>
        <w:color w:val="0C374B" w:themeColor="accent1" w:themeShade="95"/>
      </w:rPr>
    </w:tblStylePr>
    <w:tblStylePr w:type="lastCol">
      <w:rPr>
        <w:b/>
        <w:color w:val="0C374B" w:themeColor="accent1" w:themeShade="95"/>
      </w:rPr>
    </w:tblStylePr>
    <w:tblStylePr w:type="band1Vert">
      <w:tblPr/>
      <w:tcPr>
        <w:shd w:val="clear" w:color="B1DEF2" w:themeColor="accent1" w:themeTint="40" w:fill="B1DEF2" w:themeFill="accent1" w:themeFillTint="40"/>
      </w:tcPr>
    </w:tblStylePr>
    <w:tblStylePr w:type="band1Horz">
      <w:rPr>
        <w:rFonts w:ascii="Arial" w:hAnsi="Arial"/>
        <w:color w:val="0C374B" w:themeColor="accent1" w:themeShade="95"/>
        <w:sz w:val="22"/>
      </w:rPr>
      <w:tblPr/>
      <w:tcPr>
        <w:shd w:val="clear" w:color="B1DEF2" w:themeColor="accent1" w:themeTint="40" w:fill="B1DEF2" w:themeFill="accent1" w:themeFillTint="40"/>
      </w:tcPr>
    </w:tblStylePr>
    <w:tblStylePr w:type="band2Horz">
      <w:rPr>
        <w:rFonts w:ascii="Arial" w:hAnsi="Arial"/>
        <w:color w:val="0C374B" w:themeColor="accent1" w:themeShade="95"/>
        <w:sz w:val="22"/>
      </w:rPr>
    </w:tblStylePr>
  </w:style>
  <w:style w:type="table" w:customStyle="1" w:styleId="ListTable6Colorful-Accent2">
    <w:name w:val="List Table 6 Colorful - Accent 2"/>
    <w:basedOn w:val="NormaleTabelle"/>
    <w:uiPriority w:val="99"/>
    <w:pPr>
      <w:spacing w:after="0" w:line="240" w:lineRule="auto"/>
    </w:pPr>
    <w:tblPr>
      <w:tblStyleRowBandSize w:val="1"/>
      <w:tblStyleColBandSize w:val="1"/>
      <w:tblBorders>
        <w:top w:val="single" w:sz="4" w:space="0" w:color="F2AA85" w:themeColor="accent2" w:themeTint="97"/>
        <w:bottom w:val="single" w:sz="4" w:space="0" w:color="F2AA85" w:themeColor="accent2" w:themeTint="97"/>
      </w:tblBorders>
    </w:tblPr>
    <w:tblStylePr w:type="firstRow">
      <w:rPr>
        <w:b/>
        <w:color w:val="F2AA85" w:themeColor="accent2" w:themeTint="97" w:themeShade="95"/>
      </w:rPr>
      <w:tblPr/>
      <w:tcPr>
        <w:tcBorders>
          <w:bottom w:val="single" w:sz="4" w:space="0" w:color="F2AA85" w:themeColor="accent2" w:themeTint="97"/>
        </w:tcBorders>
      </w:tcPr>
    </w:tblStylePr>
    <w:tblStylePr w:type="lastRow">
      <w:rPr>
        <w:b/>
        <w:color w:val="F2AA85" w:themeColor="accent2" w:themeTint="97" w:themeShade="95"/>
      </w:rPr>
      <w:tblPr/>
      <w:tcPr>
        <w:tcBorders>
          <w:top w:val="single" w:sz="4" w:space="0" w:color="F2AA85" w:themeColor="accent2" w:themeTint="97"/>
        </w:tcBorders>
      </w:tcPr>
    </w:tblStylePr>
    <w:tblStylePr w:type="firstCol">
      <w:rPr>
        <w:b/>
        <w:color w:val="F2AA85" w:themeColor="accent2" w:themeTint="97" w:themeShade="95"/>
      </w:rPr>
    </w:tblStylePr>
    <w:tblStylePr w:type="lastCol">
      <w:rPr>
        <w:b/>
        <w:color w:val="F2AA85" w:themeColor="accent2" w:themeTint="97" w:themeShade="95"/>
      </w:rPr>
    </w:tblStylePr>
    <w:tblStylePr w:type="band1Vert">
      <w:tblPr/>
      <w:tcPr>
        <w:shd w:val="clear" w:color="F9DBCB" w:themeColor="accent2" w:themeTint="40" w:fill="F9DBCB" w:themeFill="accent2" w:themeFillTint="40"/>
      </w:tcPr>
    </w:tblStylePr>
    <w:tblStylePr w:type="band1Horz">
      <w:rPr>
        <w:rFonts w:ascii="Arial" w:hAnsi="Arial"/>
        <w:color w:val="F2AA85" w:themeColor="accent2" w:themeTint="97" w:themeShade="95"/>
        <w:sz w:val="22"/>
      </w:rPr>
      <w:tblPr/>
      <w:tcPr>
        <w:shd w:val="clear" w:color="F9DBCB" w:themeColor="accent2" w:themeTint="40" w:fill="F9DBCB" w:themeFill="accent2" w:themeFillTint="40"/>
      </w:tcPr>
    </w:tblStylePr>
    <w:tblStylePr w:type="band2Horz">
      <w:rPr>
        <w:rFonts w:ascii="Arial" w:hAnsi="Arial"/>
        <w:color w:val="F2AA85" w:themeColor="accent2" w:themeTint="97" w:themeShade="95"/>
        <w:sz w:val="22"/>
      </w:rPr>
    </w:tblStylePr>
  </w:style>
  <w:style w:type="table" w:customStyle="1" w:styleId="ListTable6Colorful-Accent3">
    <w:name w:val="List Table 6 Colorful - Accent 3"/>
    <w:basedOn w:val="NormaleTabelle"/>
    <w:uiPriority w:val="99"/>
    <w:pPr>
      <w:spacing w:after="0" w:line="240" w:lineRule="auto"/>
    </w:pPr>
    <w:tblPr>
      <w:tblStyleRowBandSize w:val="1"/>
      <w:tblStyleColBandSize w:val="1"/>
      <w:tblBorders>
        <w:top w:val="single" w:sz="4" w:space="0" w:color="48D45B" w:themeColor="accent3" w:themeTint="98"/>
        <w:bottom w:val="single" w:sz="4" w:space="0" w:color="48D45B" w:themeColor="accent3" w:themeTint="98"/>
      </w:tblBorders>
    </w:tblPr>
    <w:tblStylePr w:type="firstRow">
      <w:rPr>
        <w:b/>
        <w:color w:val="48D45B" w:themeColor="accent3" w:themeTint="98" w:themeShade="95"/>
      </w:rPr>
      <w:tblPr/>
      <w:tcPr>
        <w:tcBorders>
          <w:bottom w:val="single" w:sz="4" w:space="0" w:color="48D45B" w:themeColor="accent3" w:themeTint="98"/>
        </w:tcBorders>
      </w:tcPr>
    </w:tblStylePr>
    <w:tblStylePr w:type="lastRow">
      <w:rPr>
        <w:b/>
        <w:color w:val="48D45B" w:themeColor="accent3" w:themeTint="98" w:themeShade="95"/>
      </w:rPr>
      <w:tblPr/>
      <w:tcPr>
        <w:tcBorders>
          <w:top w:val="single" w:sz="4" w:space="0" w:color="48D45B" w:themeColor="accent3" w:themeTint="98"/>
        </w:tcBorders>
      </w:tcPr>
    </w:tblStylePr>
    <w:tblStylePr w:type="firstCol">
      <w:rPr>
        <w:b/>
        <w:color w:val="48D45B" w:themeColor="accent3" w:themeTint="98" w:themeShade="95"/>
      </w:rPr>
    </w:tblStylePr>
    <w:tblStylePr w:type="lastCol">
      <w:rPr>
        <w:b/>
        <w:color w:val="48D45B" w:themeColor="accent3" w:themeTint="98" w:themeShade="95"/>
      </w:rPr>
    </w:tblStylePr>
    <w:tblStylePr w:type="band1Vert">
      <w:tblPr/>
      <w:tcPr>
        <w:shd w:val="clear" w:color="B2EDB9" w:themeColor="accent3" w:themeTint="40" w:fill="B2EDB9" w:themeFill="accent3" w:themeFillTint="40"/>
      </w:tcPr>
    </w:tblStylePr>
    <w:tblStylePr w:type="band1Horz">
      <w:rPr>
        <w:rFonts w:ascii="Arial" w:hAnsi="Arial"/>
        <w:color w:val="48D45B" w:themeColor="accent3" w:themeTint="98" w:themeShade="95"/>
        <w:sz w:val="22"/>
      </w:rPr>
      <w:tblPr/>
      <w:tcPr>
        <w:shd w:val="clear" w:color="B2EDB9" w:themeColor="accent3" w:themeTint="40" w:fill="B2EDB9" w:themeFill="accent3" w:themeFillTint="40"/>
      </w:tcPr>
    </w:tblStylePr>
    <w:tblStylePr w:type="band2Horz">
      <w:rPr>
        <w:rFonts w:ascii="Arial" w:hAnsi="Arial"/>
        <w:color w:val="48D45B" w:themeColor="accent3" w:themeTint="98" w:themeShade="95"/>
        <w:sz w:val="22"/>
      </w:rPr>
    </w:tblStylePr>
  </w:style>
  <w:style w:type="table" w:customStyle="1" w:styleId="ListTable6Colorful-Accent4">
    <w:name w:val="List Table 6 Colorful - Accent 4"/>
    <w:basedOn w:val="NormaleTabelle"/>
    <w:uiPriority w:val="99"/>
    <w:pPr>
      <w:spacing w:after="0" w:line="240" w:lineRule="auto"/>
    </w:pPr>
    <w:tblPr>
      <w:tblStyleRowBandSize w:val="1"/>
      <w:tblStyleColBandSize w:val="1"/>
      <w:tblBorders>
        <w:top w:val="single" w:sz="4" w:space="0" w:color="5FCAF3" w:themeColor="accent4" w:themeTint="9A"/>
        <w:bottom w:val="single" w:sz="4" w:space="0" w:color="5FCAF3" w:themeColor="accent4" w:themeTint="9A"/>
      </w:tblBorders>
    </w:tblPr>
    <w:tblStylePr w:type="firstRow">
      <w:rPr>
        <w:b/>
        <w:color w:val="5FCAF3" w:themeColor="accent4" w:themeTint="9A" w:themeShade="95"/>
      </w:rPr>
      <w:tblPr/>
      <w:tcPr>
        <w:tcBorders>
          <w:bottom w:val="single" w:sz="4" w:space="0" w:color="5FCAF3" w:themeColor="accent4" w:themeTint="9A"/>
        </w:tcBorders>
      </w:tcPr>
    </w:tblStylePr>
    <w:tblStylePr w:type="lastRow">
      <w:rPr>
        <w:b/>
        <w:color w:val="5FCAF3" w:themeColor="accent4" w:themeTint="9A" w:themeShade="95"/>
      </w:rPr>
      <w:tblPr/>
      <w:tcPr>
        <w:tcBorders>
          <w:top w:val="single" w:sz="4" w:space="0" w:color="5FCAF3" w:themeColor="accent4" w:themeTint="9A"/>
        </w:tcBorders>
      </w:tcPr>
    </w:tblStylePr>
    <w:tblStylePr w:type="firstCol">
      <w:rPr>
        <w:b/>
        <w:color w:val="5FCAF3" w:themeColor="accent4" w:themeTint="9A" w:themeShade="95"/>
      </w:rPr>
    </w:tblStylePr>
    <w:tblStylePr w:type="lastCol">
      <w:rPr>
        <w:b/>
        <w:color w:val="5FCAF3" w:themeColor="accent4" w:themeTint="9A" w:themeShade="95"/>
      </w:rPr>
    </w:tblStylePr>
    <w:tblStylePr w:type="band1Vert">
      <w:tblPr/>
      <w:tcPr>
        <w:shd w:val="clear" w:color="BCE9FA" w:themeColor="accent4" w:themeTint="40" w:fill="BCE9FA" w:themeFill="accent4" w:themeFillTint="40"/>
      </w:tcPr>
    </w:tblStylePr>
    <w:tblStylePr w:type="band1Horz">
      <w:rPr>
        <w:rFonts w:ascii="Arial" w:hAnsi="Arial"/>
        <w:color w:val="5FCAF3" w:themeColor="accent4" w:themeTint="9A" w:themeShade="95"/>
        <w:sz w:val="22"/>
      </w:rPr>
      <w:tblPr/>
      <w:tcPr>
        <w:shd w:val="clear" w:color="BCE9FA" w:themeColor="accent4" w:themeTint="40" w:fill="BCE9FA" w:themeFill="accent4" w:themeFillTint="40"/>
      </w:tcPr>
    </w:tblStylePr>
    <w:tblStylePr w:type="band2Horz">
      <w:rPr>
        <w:rFonts w:ascii="Arial" w:hAnsi="Arial"/>
        <w:color w:val="5FCAF3" w:themeColor="accent4" w:themeTint="9A" w:themeShade="95"/>
        <w:sz w:val="22"/>
      </w:rPr>
    </w:tblStylePr>
  </w:style>
  <w:style w:type="table" w:customStyle="1" w:styleId="ListTable6Colorful-Accent5">
    <w:name w:val="List Table 6 Colorful - Accent 5"/>
    <w:basedOn w:val="NormaleTabelle"/>
    <w:uiPriority w:val="99"/>
    <w:pPr>
      <w:spacing w:after="0" w:line="240" w:lineRule="auto"/>
    </w:pPr>
    <w:tblPr>
      <w:tblStyleRowBandSize w:val="1"/>
      <w:tblStyleColBandSize w:val="1"/>
      <w:tblBorders>
        <w:top w:val="single" w:sz="4" w:space="0" w:color="D76CCB" w:themeColor="accent5" w:themeTint="9A"/>
        <w:bottom w:val="single" w:sz="4" w:space="0" w:color="D76CCB" w:themeColor="accent5" w:themeTint="9A"/>
      </w:tblBorders>
    </w:tblPr>
    <w:tblStylePr w:type="firstRow">
      <w:rPr>
        <w:b/>
        <w:color w:val="D76CCB" w:themeColor="accent5" w:themeTint="9A" w:themeShade="95"/>
      </w:rPr>
      <w:tblPr/>
      <w:tcPr>
        <w:tcBorders>
          <w:bottom w:val="single" w:sz="4" w:space="0" w:color="D76CCB" w:themeColor="accent5" w:themeTint="9A"/>
        </w:tcBorders>
      </w:tcPr>
    </w:tblStylePr>
    <w:tblStylePr w:type="lastRow">
      <w:rPr>
        <w:b/>
        <w:color w:val="D76CCB" w:themeColor="accent5" w:themeTint="9A" w:themeShade="95"/>
      </w:rPr>
      <w:tblPr/>
      <w:tcPr>
        <w:tcBorders>
          <w:top w:val="single" w:sz="4" w:space="0" w:color="D76CCB" w:themeColor="accent5" w:themeTint="9A"/>
        </w:tcBorders>
      </w:tcPr>
    </w:tblStylePr>
    <w:tblStylePr w:type="firstCol">
      <w:rPr>
        <w:b/>
        <w:color w:val="D76CCB" w:themeColor="accent5" w:themeTint="9A" w:themeShade="95"/>
      </w:rPr>
    </w:tblStylePr>
    <w:tblStylePr w:type="lastCol">
      <w:rPr>
        <w:b/>
        <w:color w:val="D76CCB" w:themeColor="accent5" w:themeTint="9A" w:themeShade="95"/>
      </w:rPr>
    </w:tblStylePr>
    <w:tblStylePr w:type="band1Vert">
      <w:tblPr/>
      <w:tcPr>
        <w:shd w:val="clear" w:color="EEC2E9" w:themeColor="accent5" w:themeTint="40" w:fill="EEC2E9" w:themeFill="accent5" w:themeFillTint="40"/>
      </w:tcPr>
    </w:tblStylePr>
    <w:tblStylePr w:type="band1Horz">
      <w:rPr>
        <w:rFonts w:ascii="Arial" w:hAnsi="Arial"/>
        <w:color w:val="D76CCB" w:themeColor="accent5" w:themeTint="9A" w:themeShade="95"/>
        <w:sz w:val="22"/>
      </w:rPr>
      <w:tblPr/>
      <w:tcPr>
        <w:shd w:val="clear" w:color="EEC2E9" w:themeColor="accent5" w:themeTint="40" w:fill="EEC2E9" w:themeFill="accent5" w:themeFillTint="40"/>
      </w:tcPr>
    </w:tblStylePr>
    <w:tblStylePr w:type="band2Horz">
      <w:rPr>
        <w:rFonts w:ascii="Arial" w:hAnsi="Arial"/>
        <w:color w:val="D76CCB" w:themeColor="accent5" w:themeTint="9A" w:themeShade="95"/>
        <w:sz w:val="22"/>
      </w:rPr>
    </w:tblStylePr>
  </w:style>
  <w:style w:type="table" w:customStyle="1" w:styleId="ListTable6Colorful-Accent6">
    <w:name w:val="List Table 6 Colorful - Accent 6"/>
    <w:basedOn w:val="NormaleTabelle"/>
    <w:uiPriority w:val="99"/>
    <w:pPr>
      <w:spacing w:after="0" w:line="240" w:lineRule="auto"/>
    </w:pPr>
    <w:tblPr>
      <w:tblStyleRowBandSize w:val="1"/>
      <w:tblStyleColBandSize w:val="1"/>
      <w:tblBorders>
        <w:top w:val="single" w:sz="4" w:space="0" w:color="8ED873" w:themeColor="accent6" w:themeTint="98"/>
        <w:bottom w:val="single" w:sz="4" w:space="0" w:color="8ED873" w:themeColor="accent6" w:themeTint="98"/>
      </w:tblBorders>
    </w:tblPr>
    <w:tblStylePr w:type="firstRow">
      <w:rPr>
        <w:b/>
        <w:color w:val="8ED873" w:themeColor="accent6" w:themeTint="98" w:themeShade="95"/>
      </w:rPr>
      <w:tblPr/>
      <w:tcPr>
        <w:tcBorders>
          <w:bottom w:val="single" w:sz="4" w:space="0" w:color="8ED873" w:themeColor="accent6" w:themeTint="98"/>
        </w:tcBorders>
      </w:tcPr>
    </w:tblStylePr>
    <w:tblStylePr w:type="lastRow">
      <w:rPr>
        <w:b/>
        <w:color w:val="8ED873" w:themeColor="accent6" w:themeTint="98" w:themeShade="95"/>
      </w:rPr>
      <w:tblPr/>
      <w:tcPr>
        <w:tcBorders>
          <w:top w:val="single" w:sz="4" w:space="0" w:color="8ED873" w:themeColor="accent6" w:themeTint="98"/>
        </w:tcBorders>
      </w:tcPr>
    </w:tblStylePr>
    <w:tblStylePr w:type="firstCol">
      <w:rPr>
        <w:b/>
        <w:color w:val="8ED873" w:themeColor="accent6" w:themeTint="98" w:themeShade="95"/>
      </w:rPr>
    </w:tblStylePr>
    <w:tblStylePr w:type="lastCol">
      <w:rPr>
        <w:b/>
        <w:color w:val="8ED873" w:themeColor="accent6" w:themeTint="98" w:themeShade="95"/>
      </w:rPr>
    </w:tblStylePr>
    <w:tblStylePr w:type="band1Vert">
      <w:tblPr/>
      <w:tcPr>
        <w:shd w:val="clear" w:color="CFEFC4" w:themeColor="accent6" w:themeTint="40" w:fill="CFEFC4" w:themeFill="accent6" w:themeFillTint="40"/>
      </w:tcPr>
    </w:tblStylePr>
    <w:tblStylePr w:type="band1Horz">
      <w:rPr>
        <w:rFonts w:ascii="Arial" w:hAnsi="Arial"/>
        <w:color w:val="8ED873" w:themeColor="accent6" w:themeTint="98" w:themeShade="95"/>
        <w:sz w:val="22"/>
      </w:rPr>
      <w:tblPr/>
      <w:tcPr>
        <w:shd w:val="clear" w:color="CFEFC4" w:themeColor="accent6" w:themeTint="40" w:fill="CFEFC4" w:themeFill="accent6" w:themeFillTint="40"/>
      </w:tcPr>
    </w:tblStylePr>
    <w:tblStylePr w:type="band2Horz">
      <w:rPr>
        <w:rFonts w:ascii="Arial" w:hAnsi="Arial"/>
        <w:color w:val="8ED873" w:themeColor="accent6" w:themeTint="98" w:themeShade="95"/>
        <w:sz w:val="22"/>
      </w:rPr>
    </w:tblStylePr>
  </w:style>
  <w:style w:type="table" w:styleId="Listentabelle7farbig">
    <w:name w:val="List Table 7 Colorful"/>
    <w:basedOn w:val="NormaleTabelle"/>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NormaleTabelle"/>
    <w:uiPriority w:val="99"/>
    <w:pPr>
      <w:spacing w:after="0" w:line="240" w:lineRule="auto"/>
    </w:pPr>
    <w:tblPr>
      <w:tblStyleRowBandSize w:val="1"/>
      <w:tblStyleColBandSize w:val="1"/>
      <w:tblBorders>
        <w:right w:val="single" w:sz="4" w:space="0" w:color="156082" w:themeColor="accent1"/>
      </w:tblBorders>
    </w:tblPr>
    <w:tblStylePr w:type="firstRow">
      <w:rPr>
        <w:rFonts w:ascii="Arial" w:hAnsi="Arial"/>
        <w:i/>
        <w:color w:val="0C374B" w:themeColor="accent1" w:themeShade="95"/>
        <w:sz w:val="22"/>
      </w:rPr>
      <w:tblPr/>
      <w:tcPr>
        <w:tcBorders>
          <w:top w:val="none" w:sz="4" w:space="0" w:color="000000"/>
          <w:left w:val="none" w:sz="4" w:space="0" w:color="000000"/>
          <w:bottom w:val="single" w:sz="4" w:space="0" w:color="156082" w:themeColor="accent1"/>
          <w:right w:val="none" w:sz="4" w:space="0" w:color="000000"/>
        </w:tcBorders>
        <w:shd w:val="clear" w:color="FFFFFF" w:themeColor="light1" w:fill="FFFFFF" w:themeFill="light1"/>
      </w:tcPr>
    </w:tblStylePr>
    <w:tblStylePr w:type="lastRow">
      <w:rPr>
        <w:rFonts w:ascii="Arial" w:hAnsi="Arial"/>
        <w:i/>
        <w:color w:val="0C374B" w:themeColor="accent1" w:themeShade="95"/>
        <w:sz w:val="22"/>
      </w:rPr>
      <w:tblPr/>
      <w:tcPr>
        <w:tcBorders>
          <w:top w:val="single" w:sz="4" w:space="0" w:color="156082"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0C374B" w:themeColor="accent1" w:themeShade="95"/>
        <w:sz w:val="22"/>
      </w:rPr>
      <w:tblPr/>
      <w:tcPr>
        <w:tcBorders>
          <w:top w:val="none" w:sz="4" w:space="0" w:color="000000"/>
          <w:left w:val="none" w:sz="4" w:space="0" w:color="000000"/>
          <w:bottom w:val="none" w:sz="4" w:space="0" w:color="000000"/>
          <w:right w:val="single" w:sz="4" w:space="0" w:color="156082" w:themeColor="accent1"/>
        </w:tcBorders>
        <w:shd w:val="clear" w:color="FFFFFF" w:fill="auto"/>
      </w:tcPr>
    </w:tblStylePr>
    <w:tblStylePr w:type="lastCol">
      <w:rPr>
        <w:rFonts w:ascii="Arial" w:hAnsi="Arial"/>
        <w:i/>
        <w:color w:val="0C374B" w:themeColor="accent1" w:themeShade="95"/>
        <w:sz w:val="22"/>
      </w:rPr>
      <w:tblPr/>
      <w:tcPr>
        <w:tcBorders>
          <w:top w:val="none" w:sz="4" w:space="0" w:color="000000"/>
          <w:left w:val="single" w:sz="4" w:space="0" w:color="156082" w:themeColor="accent1"/>
          <w:bottom w:val="none" w:sz="4" w:space="0" w:color="000000"/>
          <w:right w:val="none" w:sz="4" w:space="0" w:color="000000"/>
        </w:tcBorders>
        <w:shd w:val="clear" w:color="FFFFFF" w:fill="auto"/>
      </w:tcPr>
    </w:tblStylePr>
    <w:tblStylePr w:type="band1Vert">
      <w:tblPr/>
      <w:tcPr>
        <w:shd w:val="clear" w:color="B1DEF2" w:themeColor="accent1" w:themeTint="40" w:fill="B1DEF2" w:themeFill="accent1" w:themeFillTint="40"/>
      </w:tcPr>
    </w:tblStylePr>
    <w:tblStylePr w:type="band1Horz">
      <w:rPr>
        <w:rFonts w:ascii="Arial" w:hAnsi="Arial"/>
        <w:color w:val="0C374B" w:themeColor="accent1" w:themeShade="95"/>
        <w:sz w:val="22"/>
      </w:rPr>
      <w:tblPr/>
      <w:tcPr>
        <w:shd w:val="clear" w:color="B1DEF2" w:themeColor="accent1" w:themeTint="40" w:fill="B1DEF2" w:themeFill="accent1" w:themeFillTint="40"/>
      </w:tcPr>
    </w:tblStylePr>
    <w:tblStylePr w:type="band2Horz">
      <w:rPr>
        <w:rFonts w:ascii="Arial" w:hAnsi="Arial"/>
        <w:color w:val="0C374B" w:themeColor="accent1" w:themeShade="95"/>
        <w:sz w:val="22"/>
      </w:rPr>
    </w:tblStylePr>
  </w:style>
  <w:style w:type="table" w:customStyle="1" w:styleId="ListTable7Colorful-Accent2">
    <w:name w:val="List Table 7 Colorful - Accent 2"/>
    <w:basedOn w:val="NormaleTabelle"/>
    <w:uiPriority w:val="99"/>
    <w:pPr>
      <w:spacing w:after="0" w:line="240" w:lineRule="auto"/>
    </w:pPr>
    <w:tblPr>
      <w:tblStyleRowBandSize w:val="1"/>
      <w:tblStyleColBandSize w:val="1"/>
      <w:tblBorders>
        <w:right w:val="single" w:sz="4" w:space="0" w:color="F2AA85" w:themeColor="accent2" w:themeTint="97"/>
      </w:tblBorders>
    </w:tblPr>
    <w:tblStylePr w:type="firstRow">
      <w:rPr>
        <w:rFonts w:ascii="Arial" w:hAnsi="Arial"/>
        <w:i/>
        <w:color w:val="F2AA85" w:themeColor="accent2" w:themeTint="97" w:themeShade="95"/>
        <w:sz w:val="22"/>
      </w:rPr>
      <w:tblPr/>
      <w:tcPr>
        <w:tcBorders>
          <w:top w:val="none" w:sz="4" w:space="0" w:color="000000"/>
          <w:left w:val="none" w:sz="4" w:space="0" w:color="000000"/>
          <w:bottom w:val="single" w:sz="4" w:space="0" w:color="F2AA85" w:themeColor="accent2" w:themeTint="97"/>
          <w:right w:val="none" w:sz="4" w:space="0" w:color="000000"/>
        </w:tcBorders>
        <w:shd w:val="clear" w:color="FFFFFF" w:themeColor="light1" w:fill="FFFFFF" w:themeFill="light1"/>
      </w:tcPr>
    </w:tblStylePr>
    <w:tblStylePr w:type="lastRow">
      <w:rPr>
        <w:rFonts w:ascii="Arial" w:hAnsi="Arial"/>
        <w:i/>
        <w:color w:val="F2AA85" w:themeColor="accent2" w:themeTint="97" w:themeShade="95"/>
        <w:sz w:val="22"/>
      </w:rPr>
      <w:tblPr/>
      <w:tcPr>
        <w:tcBorders>
          <w:top w:val="single" w:sz="4" w:space="0" w:color="F2AA8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2AA85" w:themeColor="accent2" w:themeTint="97" w:themeShade="95"/>
        <w:sz w:val="22"/>
      </w:rPr>
      <w:tblPr/>
      <w:tcPr>
        <w:tcBorders>
          <w:top w:val="none" w:sz="4" w:space="0" w:color="000000"/>
          <w:left w:val="none" w:sz="4" w:space="0" w:color="000000"/>
          <w:bottom w:val="none" w:sz="4" w:space="0" w:color="000000"/>
          <w:right w:val="single" w:sz="4" w:space="0" w:color="F2AA85" w:themeColor="accent2" w:themeTint="97"/>
        </w:tcBorders>
        <w:shd w:val="clear" w:color="FFFFFF" w:fill="auto"/>
      </w:tcPr>
    </w:tblStylePr>
    <w:tblStylePr w:type="lastCol">
      <w:rPr>
        <w:rFonts w:ascii="Arial" w:hAnsi="Arial"/>
        <w:i/>
        <w:color w:val="F2AA85" w:themeColor="accent2" w:themeTint="97" w:themeShade="95"/>
        <w:sz w:val="22"/>
      </w:rPr>
      <w:tblPr/>
      <w:tcPr>
        <w:tcBorders>
          <w:top w:val="none" w:sz="4" w:space="0" w:color="000000"/>
          <w:left w:val="single" w:sz="4" w:space="0" w:color="F2AA85" w:themeColor="accent2" w:themeTint="97"/>
          <w:bottom w:val="none" w:sz="4" w:space="0" w:color="000000"/>
          <w:right w:val="none" w:sz="4" w:space="0" w:color="000000"/>
        </w:tcBorders>
        <w:shd w:val="clear" w:color="FFFFFF" w:fill="auto"/>
      </w:tcPr>
    </w:tblStylePr>
    <w:tblStylePr w:type="band1Vert">
      <w:tblPr/>
      <w:tcPr>
        <w:shd w:val="clear" w:color="F9DBCB" w:themeColor="accent2" w:themeTint="40" w:fill="F9DBCB" w:themeFill="accent2" w:themeFillTint="40"/>
      </w:tcPr>
    </w:tblStylePr>
    <w:tblStylePr w:type="band1Horz">
      <w:rPr>
        <w:rFonts w:ascii="Arial" w:hAnsi="Arial"/>
        <w:color w:val="F2AA85" w:themeColor="accent2" w:themeTint="97" w:themeShade="95"/>
        <w:sz w:val="22"/>
      </w:rPr>
      <w:tblPr/>
      <w:tcPr>
        <w:shd w:val="clear" w:color="F9DBCB" w:themeColor="accent2" w:themeTint="40" w:fill="F9DBCB" w:themeFill="accent2" w:themeFillTint="40"/>
      </w:tcPr>
    </w:tblStylePr>
    <w:tblStylePr w:type="band2Horz">
      <w:rPr>
        <w:rFonts w:ascii="Arial" w:hAnsi="Arial"/>
        <w:color w:val="F2AA85" w:themeColor="accent2" w:themeTint="97" w:themeShade="95"/>
        <w:sz w:val="22"/>
      </w:rPr>
    </w:tblStylePr>
  </w:style>
  <w:style w:type="table" w:customStyle="1" w:styleId="ListTable7Colorful-Accent3">
    <w:name w:val="List Table 7 Colorful - Accent 3"/>
    <w:basedOn w:val="NormaleTabelle"/>
    <w:uiPriority w:val="99"/>
    <w:pPr>
      <w:spacing w:after="0" w:line="240" w:lineRule="auto"/>
    </w:pPr>
    <w:tblPr>
      <w:tblStyleRowBandSize w:val="1"/>
      <w:tblStyleColBandSize w:val="1"/>
      <w:tblBorders>
        <w:right w:val="single" w:sz="4" w:space="0" w:color="48D45B" w:themeColor="accent3" w:themeTint="98"/>
      </w:tblBorders>
    </w:tblPr>
    <w:tblStylePr w:type="firstRow">
      <w:rPr>
        <w:rFonts w:ascii="Arial" w:hAnsi="Arial"/>
        <w:i/>
        <w:color w:val="48D45B" w:themeColor="accent3" w:themeTint="98" w:themeShade="95"/>
        <w:sz w:val="22"/>
      </w:rPr>
      <w:tblPr/>
      <w:tcPr>
        <w:tcBorders>
          <w:top w:val="none" w:sz="4" w:space="0" w:color="000000"/>
          <w:left w:val="none" w:sz="4" w:space="0" w:color="000000"/>
          <w:bottom w:val="single" w:sz="4" w:space="0" w:color="48D45B" w:themeColor="accent3" w:themeTint="98"/>
          <w:right w:val="none" w:sz="4" w:space="0" w:color="000000"/>
        </w:tcBorders>
        <w:shd w:val="clear" w:color="FFFFFF" w:themeColor="light1" w:fill="FFFFFF" w:themeFill="light1"/>
      </w:tcPr>
    </w:tblStylePr>
    <w:tblStylePr w:type="lastRow">
      <w:rPr>
        <w:rFonts w:ascii="Arial" w:hAnsi="Arial"/>
        <w:i/>
        <w:color w:val="48D45B" w:themeColor="accent3" w:themeTint="98" w:themeShade="95"/>
        <w:sz w:val="22"/>
      </w:rPr>
      <w:tblPr/>
      <w:tcPr>
        <w:tcBorders>
          <w:top w:val="single" w:sz="4" w:space="0" w:color="48D45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48D45B" w:themeColor="accent3" w:themeTint="98" w:themeShade="95"/>
        <w:sz w:val="22"/>
      </w:rPr>
      <w:tblPr/>
      <w:tcPr>
        <w:tcBorders>
          <w:top w:val="none" w:sz="4" w:space="0" w:color="000000"/>
          <w:left w:val="none" w:sz="4" w:space="0" w:color="000000"/>
          <w:bottom w:val="none" w:sz="4" w:space="0" w:color="000000"/>
          <w:right w:val="single" w:sz="4" w:space="0" w:color="48D45B" w:themeColor="accent3" w:themeTint="98"/>
        </w:tcBorders>
        <w:shd w:val="clear" w:color="FFFFFF" w:fill="auto"/>
      </w:tcPr>
    </w:tblStylePr>
    <w:tblStylePr w:type="lastCol">
      <w:rPr>
        <w:rFonts w:ascii="Arial" w:hAnsi="Arial"/>
        <w:i/>
        <w:color w:val="48D45B" w:themeColor="accent3" w:themeTint="98" w:themeShade="95"/>
        <w:sz w:val="22"/>
      </w:rPr>
      <w:tblPr/>
      <w:tcPr>
        <w:tcBorders>
          <w:top w:val="none" w:sz="4" w:space="0" w:color="000000"/>
          <w:left w:val="single" w:sz="4" w:space="0" w:color="48D45B" w:themeColor="accent3" w:themeTint="98"/>
          <w:bottom w:val="none" w:sz="4" w:space="0" w:color="000000"/>
          <w:right w:val="none" w:sz="4" w:space="0" w:color="000000"/>
        </w:tcBorders>
        <w:shd w:val="clear" w:color="FFFFFF" w:fill="auto"/>
      </w:tcPr>
    </w:tblStylePr>
    <w:tblStylePr w:type="band1Vert">
      <w:tblPr/>
      <w:tcPr>
        <w:shd w:val="clear" w:color="B2EDB9" w:themeColor="accent3" w:themeTint="40" w:fill="B2EDB9" w:themeFill="accent3" w:themeFillTint="40"/>
      </w:tcPr>
    </w:tblStylePr>
    <w:tblStylePr w:type="band1Horz">
      <w:rPr>
        <w:rFonts w:ascii="Arial" w:hAnsi="Arial"/>
        <w:color w:val="48D45B" w:themeColor="accent3" w:themeTint="98" w:themeShade="95"/>
        <w:sz w:val="22"/>
      </w:rPr>
      <w:tblPr/>
      <w:tcPr>
        <w:shd w:val="clear" w:color="B2EDB9" w:themeColor="accent3" w:themeTint="40" w:fill="B2EDB9" w:themeFill="accent3" w:themeFillTint="40"/>
      </w:tcPr>
    </w:tblStylePr>
    <w:tblStylePr w:type="band2Horz">
      <w:rPr>
        <w:rFonts w:ascii="Arial" w:hAnsi="Arial"/>
        <w:color w:val="48D45B" w:themeColor="accent3" w:themeTint="98" w:themeShade="95"/>
        <w:sz w:val="22"/>
      </w:rPr>
    </w:tblStylePr>
  </w:style>
  <w:style w:type="table" w:customStyle="1" w:styleId="ListTable7Colorful-Accent4">
    <w:name w:val="List Table 7 Colorful - Accent 4"/>
    <w:basedOn w:val="NormaleTabelle"/>
    <w:uiPriority w:val="99"/>
    <w:pPr>
      <w:spacing w:after="0" w:line="240" w:lineRule="auto"/>
    </w:pPr>
    <w:tblPr>
      <w:tblStyleRowBandSize w:val="1"/>
      <w:tblStyleColBandSize w:val="1"/>
      <w:tblBorders>
        <w:right w:val="single" w:sz="4" w:space="0" w:color="5FCAF3" w:themeColor="accent4" w:themeTint="9A"/>
      </w:tblBorders>
    </w:tblPr>
    <w:tblStylePr w:type="firstRow">
      <w:rPr>
        <w:rFonts w:ascii="Arial" w:hAnsi="Arial"/>
        <w:i/>
        <w:color w:val="5FCAF3" w:themeColor="accent4" w:themeTint="9A" w:themeShade="95"/>
        <w:sz w:val="22"/>
      </w:rPr>
      <w:tblPr/>
      <w:tcPr>
        <w:tcBorders>
          <w:top w:val="none" w:sz="4" w:space="0" w:color="000000"/>
          <w:left w:val="none" w:sz="4" w:space="0" w:color="000000"/>
          <w:bottom w:val="single" w:sz="4" w:space="0" w:color="5FCAF3" w:themeColor="accent4" w:themeTint="9A"/>
          <w:right w:val="none" w:sz="4" w:space="0" w:color="000000"/>
        </w:tcBorders>
        <w:shd w:val="clear" w:color="FFFFFF" w:themeColor="light1" w:fill="FFFFFF" w:themeFill="light1"/>
      </w:tcPr>
    </w:tblStylePr>
    <w:tblStylePr w:type="lastRow">
      <w:rPr>
        <w:rFonts w:ascii="Arial" w:hAnsi="Arial"/>
        <w:i/>
        <w:color w:val="5FCAF3" w:themeColor="accent4" w:themeTint="9A" w:themeShade="95"/>
        <w:sz w:val="22"/>
      </w:rPr>
      <w:tblPr/>
      <w:tcPr>
        <w:tcBorders>
          <w:top w:val="single" w:sz="4" w:space="0" w:color="5FCAF3"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5FCAF3" w:themeColor="accent4" w:themeTint="9A" w:themeShade="95"/>
        <w:sz w:val="22"/>
      </w:rPr>
      <w:tblPr/>
      <w:tcPr>
        <w:tcBorders>
          <w:top w:val="none" w:sz="4" w:space="0" w:color="000000"/>
          <w:left w:val="none" w:sz="4" w:space="0" w:color="000000"/>
          <w:bottom w:val="none" w:sz="4" w:space="0" w:color="000000"/>
          <w:right w:val="single" w:sz="4" w:space="0" w:color="5FCAF3" w:themeColor="accent4" w:themeTint="9A"/>
        </w:tcBorders>
        <w:shd w:val="clear" w:color="FFFFFF" w:fill="auto"/>
      </w:tcPr>
    </w:tblStylePr>
    <w:tblStylePr w:type="lastCol">
      <w:rPr>
        <w:rFonts w:ascii="Arial" w:hAnsi="Arial"/>
        <w:i/>
        <w:color w:val="5FCAF3" w:themeColor="accent4" w:themeTint="9A" w:themeShade="95"/>
        <w:sz w:val="22"/>
      </w:rPr>
      <w:tblPr/>
      <w:tcPr>
        <w:tcBorders>
          <w:top w:val="none" w:sz="4" w:space="0" w:color="000000"/>
          <w:left w:val="single" w:sz="4" w:space="0" w:color="5FCAF3" w:themeColor="accent4" w:themeTint="9A"/>
          <w:bottom w:val="none" w:sz="4" w:space="0" w:color="000000"/>
          <w:right w:val="none" w:sz="4" w:space="0" w:color="000000"/>
        </w:tcBorders>
        <w:shd w:val="clear" w:color="FFFFFF" w:fill="auto"/>
      </w:tcPr>
    </w:tblStylePr>
    <w:tblStylePr w:type="band1Vert">
      <w:tblPr/>
      <w:tcPr>
        <w:shd w:val="clear" w:color="BCE9FA" w:themeColor="accent4" w:themeTint="40" w:fill="BCE9FA" w:themeFill="accent4" w:themeFillTint="40"/>
      </w:tcPr>
    </w:tblStylePr>
    <w:tblStylePr w:type="band1Horz">
      <w:rPr>
        <w:rFonts w:ascii="Arial" w:hAnsi="Arial"/>
        <w:color w:val="5FCAF3" w:themeColor="accent4" w:themeTint="9A" w:themeShade="95"/>
        <w:sz w:val="22"/>
      </w:rPr>
      <w:tblPr/>
      <w:tcPr>
        <w:shd w:val="clear" w:color="BCE9FA" w:themeColor="accent4" w:themeTint="40" w:fill="BCE9FA" w:themeFill="accent4" w:themeFillTint="40"/>
      </w:tcPr>
    </w:tblStylePr>
    <w:tblStylePr w:type="band2Horz">
      <w:rPr>
        <w:rFonts w:ascii="Arial" w:hAnsi="Arial"/>
        <w:color w:val="5FCAF3" w:themeColor="accent4" w:themeTint="9A" w:themeShade="95"/>
        <w:sz w:val="22"/>
      </w:rPr>
    </w:tblStylePr>
  </w:style>
  <w:style w:type="table" w:customStyle="1" w:styleId="ListTable7Colorful-Accent5">
    <w:name w:val="List Table 7 Colorful - Accent 5"/>
    <w:basedOn w:val="NormaleTabelle"/>
    <w:uiPriority w:val="99"/>
    <w:pPr>
      <w:spacing w:after="0" w:line="240" w:lineRule="auto"/>
    </w:pPr>
    <w:tblPr>
      <w:tblStyleRowBandSize w:val="1"/>
      <w:tblStyleColBandSize w:val="1"/>
      <w:tblBorders>
        <w:right w:val="single" w:sz="4" w:space="0" w:color="D76CCB" w:themeColor="accent5" w:themeTint="9A"/>
      </w:tblBorders>
    </w:tblPr>
    <w:tblStylePr w:type="firstRow">
      <w:rPr>
        <w:rFonts w:ascii="Arial" w:hAnsi="Arial"/>
        <w:i/>
        <w:color w:val="D76CCB" w:themeColor="accent5" w:themeTint="9A" w:themeShade="95"/>
        <w:sz w:val="22"/>
      </w:rPr>
      <w:tblPr/>
      <w:tcPr>
        <w:tcBorders>
          <w:top w:val="none" w:sz="4" w:space="0" w:color="000000"/>
          <w:left w:val="none" w:sz="4" w:space="0" w:color="000000"/>
          <w:bottom w:val="single" w:sz="4" w:space="0" w:color="D76CCB" w:themeColor="accent5" w:themeTint="9A"/>
          <w:right w:val="none" w:sz="4" w:space="0" w:color="000000"/>
        </w:tcBorders>
        <w:shd w:val="clear" w:color="FFFFFF" w:themeColor="light1" w:fill="FFFFFF" w:themeFill="light1"/>
      </w:tcPr>
    </w:tblStylePr>
    <w:tblStylePr w:type="lastRow">
      <w:rPr>
        <w:rFonts w:ascii="Arial" w:hAnsi="Arial"/>
        <w:i/>
        <w:color w:val="D76CCB" w:themeColor="accent5" w:themeTint="9A" w:themeShade="95"/>
        <w:sz w:val="22"/>
      </w:rPr>
      <w:tblPr/>
      <w:tcPr>
        <w:tcBorders>
          <w:top w:val="single" w:sz="4" w:space="0" w:color="D76CCB"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76CCB" w:themeColor="accent5" w:themeTint="9A" w:themeShade="95"/>
        <w:sz w:val="22"/>
      </w:rPr>
      <w:tblPr/>
      <w:tcPr>
        <w:tcBorders>
          <w:top w:val="none" w:sz="4" w:space="0" w:color="000000"/>
          <w:left w:val="none" w:sz="4" w:space="0" w:color="000000"/>
          <w:bottom w:val="none" w:sz="4" w:space="0" w:color="000000"/>
          <w:right w:val="single" w:sz="4" w:space="0" w:color="D76CCB" w:themeColor="accent5" w:themeTint="9A"/>
        </w:tcBorders>
        <w:shd w:val="clear" w:color="FFFFFF" w:fill="auto"/>
      </w:tcPr>
    </w:tblStylePr>
    <w:tblStylePr w:type="lastCol">
      <w:rPr>
        <w:rFonts w:ascii="Arial" w:hAnsi="Arial"/>
        <w:i/>
        <w:color w:val="D76CCB" w:themeColor="accent5" w:themeTint="9A" w:themeShade="95"/>
        <w:sz w:val="22"/>
      </w:rPr>
      <w:tblPr/>
      <w:tcPr>
        <w:tcBorders>
          <w:top w:val="none" w:sz="4" w:space="0" w:color="000000"/>
          <w:left w:val="single" w:sz="4" w:space="0" w:color="D76CCB" w:themeColor="accent5" w:themeTint="9A"/>
          <w:bottom w:val="none" w:sz="4" w:space="0" w:color="000000"/>
          <w:right w:val="none" w:sz="4" w:space="0" w:color="000000"/>
        </w:tcBorders>
        <w:shd w:val="clear" w:color="FFFFFF" w:fill="auto"/>
      </w:tcPr>
    </w:tblStylePr>
    <w:tblStylePr w:type="band1Vert">
      <w:tblPr/>
      <w:tcPr>
        <w:shd w:val="clear" w:color="EEC2E9" w:themeColor="accent5" w:themeTint="40" w:fill="EEC2E9" w:themeFill="accent5" w:themeFillTint="40"/>
      </w:tcPr>
    </w:tblStylePr>
    <w:tblStylePr w:type="band1Horz">
      <w:rPr>
        <w:rFonts w:ascii="Arial" w:hAnsi="Arial"/>
        <w:color w:val="D76CCB" w:themeColor="accent5" w:themeTint="9A" w:themeShade="95"/>
        <w:sz w:val="22"/>
      </w:rPr>
      <w:tblPr/>
      <w:tcPr>
        <w:shd w:val="clear" w:color="EEC2E9" w:themeColor="accent5" w:themeTint="40" w:fill="EEC2E9" w:themeFill="accent5" w:themeFillTint="40"/>
      </w:tcPr>
    </w:tblStylePr>
    <w:tblStylePr w:type="band2Horz">
      <w:rPr>
        <w:rFonts w:ascii="Arial" w:hAnsi="Arial"/>
        <w:color w:val="D76CCB" w:themeColor="accent5" w:themeTint="9A" w:themeShade="95"/>
        <w:sz w:val="22"/>
      </w:rPr>
    </w:tblStylePr>
  </w:style>
  <w:style w:type="table" w:customStyle="1" w:styleId="ListTable7Colorful-Accent6">
    <w:name w:val="List Table 7 Colorful - Accent 6"/>
    <w:basedOn w:val="NormaleTabelle"/>
    <w:uiPriority w:val="99"/>
    <w:pPr>
      <w:spacing w:after="0" w:line="240" w:lineRule="auto"/>
    </w:pPr>
    <w:tblPr>
      <w:tblStyleRowBandSize w:val="1"/>
      <w:tblStyleColBandSize w:val="1"/>
      <w:tblBorders>
        <w:right w:val="single" w:sz="4" w:space="0" w:color="8ED873" w:themeColor="accent6" w:themeTint="98"/>
      </w:tblBorders>
    </w:tblPr>
    <w:tblStylePr w:type="firstRow">
      <w:rPr>
        <w:rFonts w:ascii="Arial" w:hAnsi="Arial"/>
        <w:i/>
        <w:color w:val="8ED873" w:themeColor="accent6" w:themeTint="98" w:themeShade="95"/>
        <w:sz w:val="22"/>
      </w:rPr>
      <w:tblPr/>
      <w:tcPr>
        <w:tcBorders>
          <w:top w:val="none" w:sz="4" w:space="0" w:color="000000"/>
          <w:left w:val="none" w:sz="4" w:space="0" w:color="000000"/>
          <w:bottom w:val="single" w:sz="4" w:space="0" w:color="8ED873" w:themeColor="accent6" w:themeTint="98"/>
          <w:right w:val="none" w:sz="4" w:space="0" w:color="000000"/>
        </w:tcBorders>
        <w:shd w:val="clear" w:color="FFFFFF" w:themeColor="light1" w:fill="FFFFFF" w:themeFill="light1"/>
      </w:tcPr>
    </w:tblStylePr>
    <w:tblStylePr w:type="lastRow">
      <w:rPr>
        <w:rFonts w:ascii="Arial" w:hAnsi="Arial"/>
        <w:i/>
        <w:color w:val="8ED873" w:themeColor="accent6" w:themeTint="98" w:themeShade="95"/>
        <w:sz w:val="22"/>
      </w:rPr>
      <w:tblPr/>
      <w:tcPr>
        <w:tcBorders>
          <w:top w:val="single" w:sz="4" w:space="0" w:color="8ED873"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8ED873" w:themeColor="accent6" w:themeTint="98" w:themeShade="95"/>
        <w:sz w:val="22"/>
      </w:rPr>
      <w:tblPr/>
      <w:tcPr>
        <w:tcBorders>
          <w:top w:val="none" w:sz="4" w:space="0" w:color="000000"/>
          <w:left w:val="none" w:sz="4" w:space="0" w:color="000000"/>
          <w:bottom w:val="none" w:sz="4" w:space="0" w:color="000000"/>
          <w:right w:val="single" w:sz="4" w:space="0" w:color="8ED873" w:themeColor="accent6" w:themeTint="98"/>
        </w:tcBorders>
        <w:shd w:val="clear" w:color="FFFFFF" w:fill="auto"/>
      </w:tcPr>
    </w:tblStylePr>
    <w:tblStylePr w:type="lastCol">
      <w:rPr>
        <w:rFonts w:ascii="Arial" w:hAnsi="Arial"/>
        <w:i/>
        <w:color w:val="8ED873" w:themeColor="accent6" w:themeTint="98" w:themeShade="95"/>
        <w:sz w:val="22"/>
      </w:rPr>
      <w:tblPr/>
      <w:tcPr>
        <w:tcBorders>
          <w:top w:val="none" w:sz="4" w:space="0" w:color="000000"/>
          <w:left w:val="single" w:sz="4" w:space="0" w:color="8ED873" w:themeColor="accent6" w:themeTint="98"/>
          <w:bottom w:val="none" w:sz="4" w:space="0" w:color="000000"/>
          <w:right w:val="none" w:sz="4" w:space="0" w:color="000000"/>
        </w:tcBorders>
        <w:shd w:val="clear" w:color="FFFFFF" w:fill="auto"/>
      </w:tcPr>
    </w:tblStylePr>
    <w:tblStylePr w:type="band1Vert">
      <w:tblPr/>
      <w:tcPr>
        <w:shd w:val="clear" w:color="CFEFC4" w:themeColor="accent6" w:themeTint="40" w:fill="CFEFC4" w:themeFill="accent6" w:themeFillTint="40"/>
      </w:tcPr>
    </w:tblStylePr>
    <w:tblStylePr w:type="band1Horz">
      <w:rPr>
        <w:rFonts w:ascii="Arial" w:hAnsi="Arial"/>
        <w:color w:val="8ED873" w:themeColor="accent6" w:themeTint="98" w:themeShade="95"/>
        <w:sz w:val="22"/>
      </w:rPr>
      <w:tblPr/>
      <w:tcPr>
        <w:shd w:val="clear" w:color="CFEFC4" w:themeColor="accent6" w:themeTint="40" w:fill="CFEFC4" w:themeFill="accent6" w:themeFillTint="40"/>
      </w:tcPr>
    </w:tblStylePr>
    <w:tblStylePr w:type="band2Horz">
      <w:rPr>
        <w:rFonts w:ascii="Arial" w:hAnsi="Arial"/>
        <w:color w:val="8ED873" w:themeColor="accent6" w:themeTint="98" w:themeShade="95"/>
        <w:sz w:val="22"/>
      </w:rPr>
    </w:tblStylePr>
  </w:style>
  <w:style w:type="table" w:customStyle="1" w:styleId="Lined-Accent">
    <w:name w:val="Lined - Accent"/>
    <w:basedOn w:val="NormaleTabelle"/>
    <w:uiPriority w:val="99"/>
    <w:pPr>
      <w:spacing w:after="0" w:line="240" w:lineRule="auto"/>
    </w:pPr>
    <w:rPr>
      <w:color w:val="404040"/>
      <w:sz w:val="20"/>
      <w:szCs w:val="20"/>
      <w:lang w:eastAsia="de-DE"/>
      <w14:ligatures w14:val="none"/>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NormaleTabelle"/>
    <w:uiPriority w:val="99"/>
    <w:pPr>
      <w:spacing w:after="0" w:line="240" w:lineRule="auto"/>
    </w:pPr>
    <w:rPr>
      <w:color w:val="404040"/>
      <w:sz w:val="20"/>
      <w:szCs w:val="20"/>
      <w:lang w:eastAsia="de-DE"/>
      <w14:ligatures w14:val="none"/>
    </w:rPr>
    <w:tblPr>
      <w:tblStyleRowBandSize w:val="1"/>
      <w:tblStyleColBandSize w:val="1"/>
    </w:tblPr>
    <w:tblStylePr w:type="firstRow">
      <w:rPr>
        <w:rFonts w:ascii="Arial" w:hAnsi="Arial"/>
        <w:color w:val="F2F2F2"/>
        <w:sz w:val="22"/>
      </w:rPr>
      <w:tblPr/>
      <w:tcPr>
        <w:shd w:val="clear" w:color="19729B" w:themeColor="accent1" w:themeTint="EA" w:fill="19729B" w:themeFill="accent1" w:themeFillTint="EA"/>
      </w:tcPr>
    </w:tblStylePr>
    <w:tblStylePr w:type="lastRow">
      <w:rPr>
        <w:rFonts w:ascii="Arial" w:hAnsi="Arial"/>
        <w:color w:val="F2F2F2"/>
        <w:sz w:val="22"/>
      </w:rPr>
      <w:tblPr/>
      <w:tcPr>
        <w:shd w:val="clear" w:color="19729B" w:themeColor="accent1" w:themeTint="EA" w:fill="19729B" w:themeFill="accent1" w:themeFillTint="EA"/>
      </w:tcPr>
    </w:tblStylePr>
    <w:tblStylePr w:type="firstCol">
      <w:rPr>
        <w:rFonts w:ascii="Arial" w:hAnsi="Arial"/>
        <w:color w:val="F2F2F2"/>
        <w:sz w:val="22"/>
      </w:rPr>
      <w:tblPr/>
      <w:tcPr>
        <w:shd w:val="clear" w:color="19729B" w:themeColor="accent1" w:themeTint="EA" w:fill="19729B" w:themeFill="accent1" w:themeFillTint="EA"/>
      </w:tcPr>
    </w:tblStylePr>
    <w:tblStylePr w:type="lastCol">
      <w:rPr>
        <w:rFonts w:ascii="Arial" w:hAnsi="Arial"/>
        <w:color w:val="F2F2F2"/>
        <w:sz w:val="22"/>
      </w:rPr>
      <w:tblPr/>
      <w:tcPr>
        <w:shd w:val="clear" w:color="19729B" w:themeColor="accent1" w:themeTint="EA" w:fill="19729B"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9ED5EF" w:themeColor="accent1" w:themeTint="50" w:fill="9ED5EF"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9ED5EF" w:themeColor="accent1" w:themeTint="50" w:fill="9ED5EF" w:themeFill="accent1" w:themeFillTint="50"/>
      </w:tcPr>
    </w:tblStylePr>
  </w:style>
  <w:style w:type="table" w:customStyle="1" w:styleId="Lined-Accent2">
    <w:name w:val="Lined - Accent 2"/>
    <w:basedOn w:val="NormaleTabelle"/>
    <w:uiPriority w:val="99"/>
    <w:pPr>
      <w:spacing w:after="0" w:line="240" w:lineRule="auto"/>
    </w:pPr>
    <w:rPr>
      <w:color w:val="404040"/>
      <w:sz w:val="20"/>
      <w:szCs w:val="20"/>
      <w:lang w:eastAsia="de-DE"/>
      <w14:ligatures w14:val="none"/>
    </w:rPr>
    <w:tblPr>
      <w:tblStyleRowBandSize w:val="1"/>
      <w:tblStyleColBandSize w:val="1"/>
    </w:tblPr>
    <w:tblStylePr w:type="firstRow">
      <w:rPr>
        <w:rFonts w:ascii="Arial" w:hAnsi="Arial"/>
        <w:color w:val="F2F2F2"/>
        <w:sz w:val="22"/>
      </w:rPr>
      <w:tblPr/>
      <w:tcPr>
        <w:shd w:val="clear" w:color="F2AA85" w:themeColor="accent2" w:themeTint="97" w:fill="F2AA85" w:themeFill="accent2" w:themeFillTint="97"/>
      </w:tcPr>
    </w:tblStylePr>
    <w:tblStylePr w:type="lastRow">
      <w:rPr>
        <w:rFonts w:ascii="Arial" w:hAnsi="Arial"/>
        <w:color w:val="F2F2F2"/>
        <w:sz w:val="22"/>
      </w:rPr>
      <w:tblPr/>
      <w:tcPr>
        <w:shd w:val="clear" w:color="F2AA85" w:themeColor="accent2" w:themeTint="97" w:fill="F2AA85" w:themeFill="accent2" w:themeFillTint="97"/>
      </w:tcPr>
    </w:tblStylePr>
    <w:tblStylePr w:type="firstCol">
      <w:rPr>
        <w:rFonts w:ascii="Arial" w:hAnsi="Arial"/>
        <w:color w:val="F2F2F2"/>
        <w:sz w:val="22"/>
      </w:rPr>
      <w:tblPr/>
      <w:tcPr>
        <w:shd w:val="clear" w:color="F2AA85" w:themeColor="accent2" w:themeTint="97" w:fill="F2AA85" w:themeFill="accent2" w:themeFillTint="97"/>
      </w:tcPr>
    </w:tblStylePr>
    <w:tblStylePr w:type="lastCol">
      <w:rPr>
        <w:rFonts w:ascii="Arial" w:hAnsi="Arial"/>
        <w:color w:val="F2F2F2"/>
        <w:sz w:val="22"/>
      </w:rPr>
      <w:tblPr/>
      <w:tcPr>
        <w:shd w:val="clear" w:color="F2AA85" w:themeColor="accent2" w:themeTint="97" w:fill="F2AA8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AE2D6" w:themeColor="accent2" w:themeTint="32" w:fill="FAE2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AE2D6" w:themeColor="accent2" w:themeTint="32" w:fill="FAE2D6" w:themeFill="accent2" w:themeFillTint="32"/>
      </w:tcPr>
    </w:tblStylePr>
  </w:style>
  <w:style w:type="table" w:customStyle="1" w:styleId="Lined-Accent3">
    <w:name w:val="Lined - Accent 3"/>
    <w:basedOn w:val="NormaleTabelle"/>
    <w:uiPriority w:val="99"/>
    <w:pPr>
      <w:spacing w:after="0" w:line="240" w:lineRule="auto"/>
    </w:pPr>
    <w:rPr>
      <w:color w:val="404040"/>
      <w:sz w:val="20"/>
      <w:szCs w:val="20"/>
      <w:lang w:eastAsia="de-DE"/>
      <w14:ligatures w14:val="none"/>
    </w:rPr>
    <w:tblPr>
      <w:tblStyleRowBandSize w:val="1"/>
      <w:tblStyleColBandSize w:val="1"/>
    </w:tblPr>
    <w:tblStylePr w:type="firstRow">
      <w:rPr>
        <w:rFonts w:ascii="Arial" w:hAnsi="Arial"/>
        <w:color w:val="F2F2F2"/>
        <w:sz w:val="22"/>
      </w:rPr>
      <w:tblPr/>
      <w:tcPr>
        <w:shd w:val="clear" w:color="196C24" w:themeColor="accent3" w:themeTint="FE" w:fill="196C24" w:themeFill="accent3" w:themeFillTint="FE"/>
      </w:tcPr>
    </w:tblStylePr>
    <w:tblStylePr w:type="lastRow">
      <w:rPr>
        <w:rFonts w:ascii="Arial" w:hAnsi="Arial"/>
        <w:color w:val="F2F2F2"/>
        <w:sz w:val="22"/>
      </w:rPr>
      <w:tblPr/>
      <w:tcPr>
        <w:shd w:val="clear" w:color="196C24" w:themeColor="accent3" w:themeTint="FE" w:fill="196C24" w:themeFill="accent3" w:themeFillTint="FE"/>
      </w:tcPr>
    </w:tblStylePr>
    <w:tblStylePr w:type="firstCol">
      <w:rPr>
        <w:rFonts w:ascii="Arial" w:hAnsi="Arial"/>
        <w:color w:val="F2F2F2"/>
        <w:sz w:val="22"/>
      </w:rPr>
      <w:tblPr/>
      <w:tcPr>
        <w:shd w:val="clear" w:color="196C24" w:themeColor="accent3" w:themeTint="FE" w:fill="196C24" w:themeFill="accent3" w:themeFillTint="FE"/>
      </w:tcPr>
    </w:tblStylePr>
    <w:tblStylePr w:type="lastCol">
      <w:rPr>
        <w:rFonts w:ascii="Arial" w:hAnsi="Arial"/>
        <w:color w:val="F2F2F2"/>
        <w:sz w:val="22"/>
      </w:rPr>
      <w:tblPr/>
      <w:tcPr>
        <w:shd w:val="clear" w:color="196C24" w:themeColor="accent3" w:themeTint="FE" w:fill="196C24"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C0F0C6" w:themeColor="accent3" w:themeTint="34" w:fill="C0F0C6"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C0F0C6" w:themeColor="accent3" w:themeTint="34" w:fill="C0F0C6" w:themeFill="accent3" w:themeFillTint="34"/>
      </w:tcPr>
    </w:tblStylePr>
  </w:style>
  <w:style w:type="table" w:customStyle="1" w:styleId="Lined-Accent4">
    <w:name w:val="Lined - Accent 4"/>
    <w:basedOn w:val="NormaleTabelle"/>
    <w:uiPriority w:val="99"/>
    <w:pPr>
      <w:spacing w:after="0" w:line="240" w:lineRule="auto"/>
    </w:pPr>
    <w:rPr>
      <w:color w:val="404040"/>
      <w:sz w:val="20"/>
      <w:szCs w:val="20"/>
      <w:lang w:eastAsia="de-DE"/>
      <w14:ligatures w14:val="none"/>
    </w:rPr>
    <w:tblPr>
      <w:tblStyleRowBandSize w:val="1"/>
      <w:tblStyleColBandSize w:val="1"/>
    </w:tblPr>
    <w:tblStylePr w:type="firstRow">
      <w:rPr>
        <w:rFonts w:ascii="Arial" w:hAnsi="Arial"/>
        <w:color w:val="F2F2F2"/>
        <w:sz w:val="22"/>
      </w:rPr>
      <w:tblPr/>
      <w:tcPr>
        <w:shd w:val="clear" w:color="5FCAF3" w:themeColor="accent4" w:themeTint="9A" w:fill="5FCAF3" w:themeFill="accent4" w:themeFillTint="9A"/>
      </w:tcPr>
    </w:tblStylePr>
    <w:tblStylePr w:type="lastRow">
      <w:rPr>
        <w:rFonts w:ascii="Arial" w:hAnsi="Arial"/>
        <w:color w:val="F2F2F2"/>
        <w:sz w:val="22"/>
      </w:rPr>
      <w:tblPr/>
      <w:tcPr>
        <w:shd w:val="clear" w:color="5FCAF3" w:themeColor="accent4" w:themeTint="9A" w:fill="5FCAF3" w:themeFill="accent4" w:themeFillTint="9A"/>
      </w:tcPr>
    </w:tblStylePr>
    <w:tblStylePr w:type="firstCol">
      <w:rPr>
        <w:rFonts w:ascii="Arial" w:hAnsi="Arial"/>
        <w:color w:val="F2F2F2"/>
        <w:sz w:val="22"/>
      </w:rPr>
      <w:tblPr/>
      <w:tcPr>
        <w:shd w:val="clear" w:color="5FCAF3" w:themeColor="accent4" w:themeTint="9A" w:fill="5FCAF3" w:themeFill="accent4" w:themeFillTint="9A"/>
      </w:tcPr>
    </w:tblStylePr>
    <w:tblStylePr w:type="lastCol">
      <w:rPr>
        <w:rFonts w:ascii="Arial" w:hAnsi="Arial"/>
        <w:color w:val="F2F2F2"/>
        <w:sz w:val="22"/>
      </w:rPr>
      <w:tblPr/>
      <w:tcPr>
        <w:shd w:val="clear" w:color="5FCAF3" w:themeColor="accent4" w:themeTint="9A" w:fill="5FCAF3"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C9EDFB" w:themeColor="accent4" w:themeTint="34" w:fill="C9EDF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C9EDFB" w:themeColor="accent4" w:themeTint="34" w:fill="C9EDFB" w:themeFill="accent4" w:themeFillTint="34"/>
      </w:tcPr>
    </w:tblStylePr>
  </w:style>
  <w:style w:type="table" w:customStyle="1" w:styleId="Lined-Accent5">
    <w:name w:val="Lined - Accent 5"/>
    <w:basedOn w:val="NormaleTabelle"/>
    <w:uiPriority w:val="99"/>
    <w:pPr>
      <w:spacing w:after="0" w:line="240" w:lineRule="auto"/>
    </w:pPr>
    <w:rPr>
      <w:color w:val="404040"/>
      <w:sz w:val="20"/>
      <w:szCs w:val="20"/>
      <w:lang w:eastAsia="de-DE"/>
      <w14:ligatures w14:val="none"/>
    </w:rPr>
    <w:tblPr>
      <w:tblStyleRowBandSize w:val="1"/>
      <w:tblStyleColBandSize w:val="1"/>
    </w:tblPr>
    <w:tblStylePr w:type="firstRow">
      <w:rPr>
        <w:rFonts w:ascii="Arial" w:hAnsi="Arial"/>
        <w:color w:val="F2F2F2"/>
        <w:sz w:val="22"/>
      </w:rPr>
      <w:tblPr/>
      <w:tcPr>
        <w:shd w:val="clear" w:color="A02B93" w:themeColor="accent5" w:fill="A02B93" w:themeFill="accent5"/>
      </w:tcPr>
    </w:tblStylePr>
    <w:tblStylePr w:type="lastRow">
      <w:rPr>
        <w:rFonts w:ascii="Arial" w:hAnsi="Arial"/>
        <w:color w:val="F2F2F2"/>
        <w:sz w:val="22"/>
      </w:rPr>
      <w:tblPr/>
      <w:tcPr>
        <w:shd w:val="clear" w:color="A02B93" w:themeColor="accent5" w:fill="A02B93" w:themeFill="accent5"/>
      </w:tcPr>
    </w:tblStylePr>
    <w:tblStylePr w:type="firstCol">
      <w:rPr>
        <w:rFonts w:ascii="Arial" w:hAnsi="Arial"/>
        <w:color w:val="F2F2F2"/>
        <w:sz w:val="22"/>
      </w:rPr>
      <w:tblPr/>
      <w:tcPr>
        <w:shd w:val="clear" w:color="A02B93" w:themeColor="accent5" w:fill="A02B93" w:themeFill="accent5"/>
      </w:tcPr>
    </w:tblStylePr>
    <w:tblStylePr w:type="lastCol">
      <w:rPr>
        <w:rFonts w:ascii="Arial" w:hAnsi="Arial"/>
        <w:color w:val="F2F2F2"/>
        <w:sz w:val="22"/>
      </w:rPr>
      <w:tblPr/>
      <w:tcPr>
        <w:shd w:val="clear" w:color="A02B93" w:themeColor="accent5" w:fill="A02B93" w:themeFill="accent5"/>
      </w:tcPr>
    </w:tblStylePr>
    <w:tblStylePr w:type="band1Vert">
      <w:rPr>
        <w:rFonts w:ascii="Arial" w:hAnsi="Arial"/>
        <w:color w:val="404040"/>
        <w:sz w:val="22"/>
      </w:rPr>
    </w:tblStylePr>
    <w:tblStylePr w:type="band2Vert">
      <w:rPr>
        <w:rFonts w:ascii="Arial" w:hAnsi="Arial"/>
        <w:color w:val="404040"/>
        <w:sz w:val="22"/>
      </w:rPr>
      <w:tblPr/>
      <w:tcPr>
        <w:shd w:val="clear" w:color="F1CDED" w:themeColor="accent5" w:themeTint="34" w:fill="F1CDED"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F1CDED" w:themeColor="accent5" w:themeTint="34" w:fill="F1CDED" w:themeFill="accent5" w:themeFillTint="34"/>
      </w:tcPr>
    </w:tblStylePr>
  </w:style>
  <w:style w:type="table" w:customStyle="1" w:styleId="Lined-Accent6">
    <w:name w:val="Lined - Accent 6"/>
    <w:basedOn w:val="NormaleTabelle"/>
    <w:uiPriority w:val="99"/>
    <w:pPr>
      <w:spacing w:after="0" w:line="240" w:lineRule="auto"/>
    </w:pPr>
    <w:rPr>
      <w:color w:val="404040"/>
      <w:sz w:val="20"/>
      <w:szCs w:val="20"/>
      <w:lang w:eastAsia="de-DE"/>
      <w14:ligatures w14:val="none"/>
    </w:rPr>
    <w:tblPr>
      <w:tblStyleRowBandSize w:val="1"/>
      <w:tblStyleColBandSize w:val="1"/>
    </w:tblPr>
    <w:tblStylePr w:type="firstRow">
      <w:rPr>
        <w:rFonts w:ascii="Arial" w:hAnsi="Arial"/>
        <w:color w:val="F2F2F2"/>
        <w:sz w:val="22"/>
      </w:rPr>
      <w:tblPr/>
      <w:tcPr>
        <w:shd w:val="clear" w:color="4EA72E" w:themeColor="accent6" w:fill="4EA72E" w:themeFill="accent6"/>
      </w:tcPr>
    </w:tblStylePr>
    <w:tblStylePr w:type="lastRow">
      <w:rPr>
        <w:rFonts w:ascii="Arial" w:hAnsi="Arial"/>
        <w:color w:val="F2F2F2"/>
        <w:sz w:val="22"/>
      </w:rPr>
      <w:tblPr/>
      <w:tcPr>
        <w:shd w:val="clear" w:color="4EA72E" w:themeColor="accent6" w:fill="4EA72E" w:themeFill="accent6"/>
      </w:tcPr>
    </w:tblStylePr>
    <w:tblStylePr w:type="firstCol">
      <w:rPr>
        <w:rFonts w:ascii="Arial" w:hAnsi="Arial"/>
        <w:color w:val="F2F2F2"/>
        <w:sz w:val="22"/>
      </w:rPr>
      <w:tblPr/>
      <w:tcPr>
        <w:shd w:val="clear" w:color="4EA72E" w:themeColor="accent6" w:fill="4EA72E" w:themeFill="accent6"/>
      </w:tcPr>
    </w:tblStylePr>
    <w:tblStylePr w:type="lastCol">
      <w:rPr>
        <w:rFonts w:ascii="Arial" w:hAnsi="Arial"/>
        <w:color w:val="F2F2F2"/>
        <w:sz w:val="22"/>
      </w:rPr>
      <w:tblPr/>
      <w:tcPr>
        <w:shd w:val="clear" w:color="4EA72E" w:themeColor="accent6" w:fill="4EA72E" w:themeFill="accent6"/>
      </w:tcPr>
    </w:tblStylePr>
    <w:tblStylePr w:type="band1Vert">
      <w:rPr>
        <w:rFonts w:ascii="Arial" w:hAnsi="Arial"/>
        <w:color w:val="404040"/>
        <w:sz w:val="22"/>
      </w:rPr>
    </w:tblStylePr>
    <w:tblStylePr w:type="band2Vert">
      <w:rPr>
        <w:rFonts w:ascii="Arial" w:hAnsi="Arial"/>
        <w:color w:val="404040"/>
        <w:sz w:val="22"/>
      </w:rPr>
      <w:tblPr/>
      <w:tcPr>
        <w:shd w:val="clear" w:color="D8F2CF" w:themeColor="accent6" w:themeTint="34" w:fill="D8F2CF"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F2CF" w:themeColor="accent6" w:themeTint="34" w:fill="D8F2CF" w:themeFill="accent6" w:themeFillTint="34"/>
      </w:tcPr>
    </w:tblStylePr>
  </w:style>
  <w:style w:type="table" w:customStyle="1" w:styleId="BorderedLined-Accent">
    <w:name w:val="Bordered &amp; Lined - Accent"/>
    <w:basedOn w:val="NormaleTabelle"/>
    <w:uiPriority w:val="99"/>
    <w:pPr>
      <w:spacing w:after="0" w:line="240" w:lineRule="auto"/>
    </w:pPr>
    <w:rPr>
      <w:color w:val="404040"/>
      <w:sz w:val="20"/>
      <w:szCs w:val="20"/>
      <w:lang w:eastAsia="de-DE"/>
      <w14:ligatures w14:val="none"/>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NormaleTabelle"/>
    <w:uiPriority w:val="99"/>
    <w:pPr>
      <w:spacing w:after="0" w:line="240" w:lineRule="auto"/>
    </w:pPr>
    <w:rPr>
      <w:color w:val="404040"/>
      <w:sz w:val="20"/>
      <w:szCs w:val="20"/>
      <w:lang w:eastAsia="de-DE"/>
      <w14:ligatures w14:val="none"/>
    </w:rPr>
    <w:tblPr>
      <w:tblStyleRowBandSize w:val="1"/>
      <w:tblStyleColBandSize w:val="1"/>
      <w:tblBorders>
        <w:top w:val="single" w:sz="4" w:space="0" w:color="0C374B" w:themeColor="accent1" w:themeShade="95"/>
        <w:left w:val="single" w:sz="4" w:space="0" w:color="0C374B" w:themeColor="accent1" w:themeShade="95"/>
        <w:bottom w:val="single" w:sz="4" w:space="0" w:color="0C374B" w:themeColor="accent1" w:themeShade="95"/>
        <w:right w:val="single" w:sz="4" w:space="0" w:color="0C374B" w:themeColor="accent1" w:themeShade="95"/>
        <w:insideH w:val="single" w:sz="4" w:space="0" w:color="0C374B" w:themeColor="accent1" w:themeShade="95"/>
        <w:insideV w:val="single" w:sz="4" w:space="0" w:color="0C374B" w:themeColor="accent1" w:themeShade="95"/>
      </w:tblBorders>
    </w:tblPr>
    <w:tblStylePr w:type="firstRow">
      <w:rPr>
        <w:rFonts w:ascii="Arial" w:hAnsi="Arial"/>
        <w:color w:val="F2F2F2"/>
        <w:sz w:val="22"/>
      </w:rPr>
      <w:tblPr/>
      <w:tcPr>
        <w:shd w:val="clear" w:color="19729B" w:themeColor="accent1" w:themeTint="EA" w:fill="19729B" w:themeFill="accent1" w:themeFillTint="EA"/>
      </w:tcPr>
    </w:tblStylePr>
    <w:tblStylePr w:type="lastRow">
      <w:rPr>
        <w:rFonts w:ascii="Arial" w:hAnsi="Arial"/>
        <w:color w:val="F2F2F2"/>
        <w:sz w:val="22"/>
      </w:rPr>
      <w:tblPr/>
      <w:tcPr>
        <w:shd w:val="clear" w:color="19729B" w:themeColor="accent1" w:themeTint="EA" w:fill="19729B" w:themeFill="accent1" w:themeFillTint="EA"/>
      </w:tcPr>
    </w:tblStylePr>
    <w:tblStylePr w:type="firstCol">
      <w:rPr>
        <w:rFonts w:ascii="Arial" w:hAnsi="Arial"/>
        <w:color w:val="F2F2F2"/>
        <w:sz w:val="22"/>
      </w:rPr>
      <w:tblPr/>
      <w:tcPr>
        <w:shd w:val="clear" w:color="19729B" w:themeColor="accent1" w:themeTint="EA" w:fill="19729B" w:themeFill="accent1" w:themeFillTint="EA"/>
      </w:tcPr>
    </w:tblStylePr>
    <w:tblStylePr w:type="lastCol">
      <w:rPr>
        <w:rFonts w:ascii="Arial" w:hAnsi="Arial"/>
        <w:color w:val="F2F2F2"/>
        <w:sz w:val="22"/>
      </w:rPr>
      <w:tblPr/>
      <w:tcPr>
        <w:shd w:val="clear" w:color="19729B" w:themeColor="accent1" w:themeTint="EA" w:fill="19729B"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9ED5EF" w:themeColor="accent1" w:themeTint="50" w:fill="9ED5EF"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9ED5EF" w:themeColor="accent1" w:themeTint="50" w:fill="9ED5EF" w:themeFill="accent1" w:themeFillTint="50"/>
      </w:tcPr>
    </w:tblStylePr>
  </w:style>
  <w:style w:type="table" w:customStyle="1" w:styleId="BorderedLined-Accent2">
    <w:name w:val="Bordered &amp; Lined - Accent 2"/>
    <w:basedOn w:val="NormaleTabelle"/>
    <w:uiPriority w:val="99"/>
    <w:pPr>
      <w:spacing w:after="0" w:line="240" w:lineRule="auto"/>
    </w:pPr>
    <w:rPr>
      <w:color w:val="404040"/>
      <w:sz w:val="20"/>
      <w:szCs w:val="20"/>
      <w:lang w:eastAsia="de-DE"/>
      <w14:ligatures w14:val="none"/>
    </w:rPr>
    <w:tblPr>
      <w:tblStyleRowBandSize w:val="1"/>
      <w:tblStyleColBandSize w:val="1"/>
      <w:tblBorders>
        <w:top w:val="single" w:sz="4" w:space="0" w:color="953D10" w:themeColor="accent2" w:themeShade="95"/>
        <w:left w:val="single" w:sz="4" w:space="0" w:color="953D10" w:themeColor="accent2" w:themeShade="95"/>
        <w:bottom w:val="single" w:sz="4" w:space="0" w:color="953D10" w:themeColor="accent2" w:themeShade="95"/>
        <w:right w:val="single" w:sz="4" w:space="0" w:color="953D10" w:themeColor="accent2" w:themeShade="95"/>
        <w:insideH w:val="single" w:sz="4" w:space="0" w:color="953D10" w:themeColor="accent2" w:themeShade="95"/>
        <w:insideV w:val="single" w:sz="4" w:space="0" w:color="953D10" w:themeColor="accent2" w:themeShade="95"/>
      </w:tblBorders>
    </w:tblPr>
    <w:tblStylePr w:type="firstRow">
      <w:rPr>
        <w:rFonts w:ascii="Arial" w:hAnsi="Arial"/>
        <w:color w:val="F2F2F2"/>
        <w:sz w:val="22"/>
      </w:rPr>
      <w:tblPr/>
      <w:tcPr>
        <w:shd w:val="clear" w:color="F2AA85" w:themeColor="accent2" w:themeTint="97" w:fill="F2AA85" w:themeFill="accent2" w:themeFillTint="97"/>
      </w:tcPr>
    </w:tblStylePr>
    <w:tblStylePr w:type="lastRow">
      <w:rPr>
        <w:rFonts w:ascii="Arial" w:hAnsi="Arial"/>
        <w:color w:val="F2F2F2"/>
        <w:sz w:val="22"/>
      </w:rPr>
      <w:tblPr/>
      <w:tcPr>
        <w:shd w:val="clear" w:color="F2AA85" w:themeColor="accent2" w:themeTint="97" w:fill="F2AA85" w:themeFill="accent2" w:themeFillTint="97"/>
      </w:tcPr>
    </w:tblStylePr>
    <w:tblStylePr w:type="firstCol">
      <w:rPr>
        <w:rFonts w:ascii="Arial" w:hAnsi="Arial"/>
        <w:color w:val="F2F2F2"/>
        <w:sz w:val="22"/>
      </w:rPr>
      <w:tblPr/>
      <w:tcPr>
        <w:shd w:val="clear" w:color="F2AA85" w:themeColor="accent2" w:themeTint="97" w:fill="F2AA85" w:themeFill="accent2" w:themeFillTint="97"/>
      </w:tcPr>
    </w:tblStylePr>
    <w:tblStylePr w:type="lastCol">
      <w:rPr>
        <w:rFonts w:ascii="Arial" w:hAnsi="Arial"/>
        <w:color w:val="F2F2F2"/>
        <w:sz w:val="22"/>
      </w:rPr>
      <w:tblPr/>
      <w:tcPr>
        <w:shd w:val="clear" w:color="F2AA85" w:themeColor="accent2" w:themeTint="97" w:fill="F2AA8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AE2D6" w:themeColor="accent2" w:themeTint="32" w:fill="FAE2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AE2D6" w:themeColor="accent2" w:themeTint="32" w:fill="FAE2D6" w:themeFill="accent2" w:themeFillTint="32"/>
      </w:tcPr>
    </w:tblStylePr>
  </w:style>
  <w:style w:type="table" w:customStyle="1" w:styleId="BorderedLined-Accent3">
    <w:name w:val="Bordered &amp; Lined - Accent 3"/>
    <w:basedOn w:val="NormaleTabelle"/>
    <w:uiPriority w:val="99"/>
    <w:pPr>
      <w:spacing w:after="0" w:line="240" w:lineRule="auto"/>
    </w:pPr>
    <w:rPr>
      <w:color w:val="404040"/>
      <w:sz w:val="20"/>
      <w:szCs w:val="20"/>
      <w:lang w:eastAsia="de-DE"/>
      <w14:ligatures w14:val="none"/>
    </w:rPr>
    <w:tblPr>
      <w:tblStyleRowBandSize w:val="1"/>
      <w:tblStyleColBandSize w:val="1"/>
      <w:tblBorders>
        <w:top w:val="single" w:sz="4" w:space="0" w:color="0E3E15" w:themeColor="accent3" w:themeShade="95"/>
        <w:left w:val="single" w:sz="4" w:space="0" w:color="0E3E15" w:themeColor="accent3" w:themeShade="95"/>
        <w:bottom w:val="single" w:sz="4" w:space="0" w:color="0E3E15" w:themeColor="accent3" w:themeShade="95"/>
        <w:right w:val="single" w:sz="4" w:space="0" w:color="0E3E15" w:themeColor="accent3" w:themeShade="95"/>
        <w:insideH w:val="single" w:sz="4" w:space="0" w:color="0E3E15" w:themeColor="accent3" w:themeShade="95"/>
        <w:insideV w:val="single" w:sz="4" w:space="0" w:color="0E3E15" w:themeColor="accent3" w:themeShade="95"/>
      </w:tblBorders>
    </w:tblPr>
    <w:tblStylePr w:type="firstRow">
      <w:rPr>
        <w:rFonts w:ascii="Arial" w:hAnsi="Arial"/>
        <w:color w:val="F2F2F2"/>
        <w:sz w:val="22"/>
      </w:rPr>
      <w:tblPr/>
      <w:tcPr>
        <w:shd w:val="clear" w:color="196C24" w:themeColor="accent3" w:themeTint="FE" w:fill="196C24" w:themeFill="accent3" w:themeFillTint="FE"/>
      </w:tcPr>
    </w:tblStylePr>
    <w:tblStylePr w:type="lastRow">
      <w:rPr>
        <w:rFonts w:ascii="Arial" w:hAnsi="Arial"/>
        <w:color w:val="F2F2F2"/>
        <w:sz w:val="22"/>
      </w:rPr>
      <w:tblPr/>
      <w:tcPr>
        <w:shd w:val="clear" w:color="196C24" w:themeColor="accent3" w:themeTint="FE" w:fill="196C24" w:themeFill="accent3" w:themeFillTint="FE"/>
      </w:tcPr>
    </w:tblStylePr>
    <w:tblStylePr w:type="firstCol">
      <w:rPr>
        <w:rFonts w:ascii="Arial" w:hAnsi="Arial"/>
        <w:color w:val="F2F2F2"/>
        <w:sz w:val="22"/>
      </w:rPr>
      <w:tblPr/>
      <w:tcPr>
        <w:shd w:val="clear" w:color="196C24" w:themeColor="accent3" w:themeTint="FE" w:fill="196C24" w:themeFill="accent3" w:themeFillTint="FE"/>
      </w:tcPr>
    </w:tblStylePr>
    <w:tblStylePr w:type="lastCol">
      <w:rPr>
        <w:rFonts w:ascii="Arial" w:hAnsi="Arial"/>
        <w:color w:val="F2F2F2"/>
        <w:sz w:val="22"/>
      </w:rPr>
      <w:tblPr/>
      <w:tcPr>
        <w:shd w:val="clear" w:color="196C24" w:themeColor="accent3" w:themeTint="FE" w:fill="196C24"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C0F0C6" w:themeColor="accent3" w:themeTint="34" w:fill="C0F0C6"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C0F0C6" w:themeColor="accent3" w:themeTint="34" w:fill="C0F0C6" w:themeFill="accent3" w:themeFillTint="34"/>
      </w:tcPr>
    </w:tblStylePr>
  </w:style>
  <w:style w:type="table" w:customStyle="1" w:styleId="BorderedLined-Accent4">
    <w:name w:val="Bordered &amp; Lined - Accent 4"/>
    <w:basedOn w:val="NormaleTabelle"/>
    <w:uiPriority w:val="99"/>
    <w:pPr>
      <w:spacing w:after="0" w:line="240" w:lineRule="auto"/>
    </w:pPr>
    <w:rPr>
      <w:color w:val="404040"/>
      <w:sz w:val="20"/>
      <w:szCs w:val="20"/>
      <w:lang w:eastAsia="de-DE"/>
      <w14:ligatures w14:val="none"/>
    </w:rPr>
    <w:tblPr>
      <w:tblStyleRowBandSize w:val="1"/>
      <w:tblStyleColBandSize w:val="1"/>
      <w:tblBorders>
        <w:top w:val="single" w:sz="4" w:space="0" w:color="085C7C" w:themeColor="accent4" w:themeShade="95"/>
        <w:left w:val="single" w:sz="4" w:space="0" w:color="085C7C" w:themeColor="accent4" w:themeShade="95"/>
        <w:bottom w:val="single" w:sz="4" w:space="0" w:color="085C7C" w:themeColor="accent4" w:themeShade="95"/>
        <w:right w:val="single" w:sz="4" w:space="0" w:color="085C7C" w:themeColor="accent4" w:themeShade="95"/>
        <w:insideH w:val="single" w:sz="4" w:space="0" w:color="085C7C" w:themeColor="accent4" w:themeShade="95"/>
        <w:insideV w:val="single" w:sz="4" w:space="0" w:color="085C7C" w:themeColor="accent4" w:themeShade="95"/>
      </w:tblBorders>
    </w:tblPr>
    <w:tblStylePr w:type="firstRow">
      <w:rPr>
        <w:rFonts w:ascii="Arial" w:hAnsi="Arial"/>
        <w:color w:val="F2F2F2"/>
        <w:sz w:val="22"/>
      </w:rPr>
      <w:tblPr/>
      <w:tcPr>
        <w:shd w:val="clear" w:color="5FCAF3" w:themeColor="accent4" w:themeTint="9A" w:fill="5FCAF3" w:themeFill="accent4" w:themeFillTint="9A"/>
      </w:tcPr>
    </w:tblStylePr>
    <w:tblStylePr w:type="lastRow">
      <w:rPr>
        <w:rFonts w:ascii="Arial" w:hAnsi="Arial"/>
        <w:color w:val="F2F2F2"/>
        <w:sz w:val="22"/>
      </w:rPr>
      <w:tblPr/>
      <w:tcPr>
        <w:shd w:val="clear" w:color="5FCAF3" w:themeColor="accent4" w:themeTint="9A" w:fill="5FCAF3" w:themeFill="accent4" w:themeFillTint="9A"/>
      </w:tcPr>
    </w:tblStylePr>
    <w:tblStylePr w:type="firstCol">
      <w:rPr>
        <w:rFonts w:ascii="Arial" w:hAnsi="Arial"/>
        <w:color w:val="F2F2F2"/>
        <w:sz w:val="22"/>
      </w:rPr>
      <w:tblPr/>
      <w:tcPr>
        <w:shd w:val="clear" w:color="5FCAF3" w:themeColor="accent4" w:themeTint="9A" w:fill="5FCAF3" w:themeFill="accent4" w:themeFillTint="9A"/>
      </w:tcPr>
    </w:tblStylePr>
    <w:tblStylePr w:type="lastCol">
      <w:rPr>
        <w:rFonts w:ascii="Arial" w:hAnsi="Arial"/>
        <w:color w:val="F2F2F2"/>
        <w:sz w:val="22"/>
      </w:rPr>
      <w:tblPr/>
      <w:tcPr>
        <w:shd w:val="clear" w:color="5FCAF3" w:themeColor="accent4" w:themeTint="9A" w:fill="5FCAF3"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C9EDFB" w:themeColor="accent4" w:themeTint="34" w:fill="C9EDF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C9EDFB" w:themeColor="accent4" w:themeTint="34" w:fill="C9EDFB" w:themeFill="accent4" w:themeFillTint="34"/>
      </w:tcPr>
    </w:tblStylePr>
  </w:style>
  <w:style w:type="table" w:customStyle="1" w:styleId="BorderedLined-Accent5">
    <w:name w:val="Bordered &amp; Lined - Accent 5"/>
    <w:basedOn w:val="NormaleTabelle"/>
    <w:uiPriority w:val="99"/>
    <w:pPr>
      <w:spacing w:after="0" w:line="240" w:lineRule="auto"/>
    </w:pPr>
    <w:rPr>
      <w:color w:val="404040"/>
      <w:sz w:val="20"/>
      <w:szCs w:val="20"/>
      <w:lang w:eastAsia="de-DE"/>
      <w14:ligatures w14:val="none"/>
    </w:rPr>
    <w:tblPr>
      <w:tblStyleRowBandSize w:val="1"/>
      <w:tblStyleColBandSize w:val="1"/>
      <w:tblBorders>
        <w:top w:val="single" w:sz="4" w:space="0" w:color="5D1955" w:themeColor="accent5" w:themeShade="95"/>
        <w:left w:val="single" w:sz="4" w:space="0" w:color="5D1955" w:themeColor="accent5" w:themeShade="95"/>
        <w:bottom w:val="single" w:sz="4" w:space="0" w:color="5D1955" w:themeColor="accent5" w:themeShade="95"/>
        <w:right w:val="single" w:sz="4" w:space="0" w:color="5D1955" w:themeColor="accent5" w:themeShade="95"/>
        <w:insideH w:val="single" w:sz="4" w:space="0" w:color="5D1955" w:themeColor="accent5" w:themeShade="95"/>
        <w:insideV w:val="single" w:sz="4" w:space="0" w:color="5D1955" w:themeColor="accent5" w:themeShade="95"/>
      </w:tblBorders>
    </w:tblPr>
    <w:tblStylePr w:type="firstRow">
      <w:rPr>
        <w:rFonts w:ascii="Arial" w:hAnsi="Arial"/>
        <w:color w:val="F2F2F2"/>
        <w:sz w:val="22"/>
      </w:rPr>
      <w:tblPr/>
      <w:tcPr>
        <w:shd w:val="clear" w:color="A02B93" w:themeColor="accent5" w:fill="A02B93" w:themeFill="accent5"/>
      </w:tcPr>
    </w:tblStylePr>
    <w:tblStylePr w:type="lastRow">
      <w:rPr>
        <w:rFonts w:ascii="Arial" w:hAnsi="Arial"/>
        <w:color w:val="F2F2F2"/>
        <w:sz w:val="22"/>
      </w:rPr>
      <w:tblPr/>
      <w:tcPr>
        <w:shd w:val="clear" w:color="A02B93" w:themeColor="accent5" w:fill="A02B93" w:themeFill="accent5"/>
      </w:tcPr>
    </w:tblStylePr>
    <w:tblStylePr w:type="firstCol">
      <w:rPr>
        <w:rFonts w:ascii="Arial" w:hAnsi="Arial"/>
        <w:color w:val="F2F2F2"/>
        <w:sz w:val="22"/>
      </w:rPr>
      <w:tblPr/>
      <w:tcPr>
        <w:shd w:val="clear" w:color="A02B93" w:themeColor="accent5" w:fill="A02B93" w:themeFill="accent5"/>
      </w:tcPr>
    </w:tblStylePr>
    <w:tblStylePr w:type="lastCol">
      <w:rPr>
        <w:rFonts w:ascii="Arial" w:hAnsi="Arial"/>
        <w:color w:val="F2F2F2"/>
        <w:sz w:val="22"/>
      </w:rPr>
      <w:tblPr/>
      <w:tcPr>
        <w:shd w:val="clear" w:color="A02B93" w:themeColor="accent5" w:fill="A02B93" w:themeFill="accent5"/>
      </w:tcPr>
    </w:tblStylePr>
    <w:tblStylePr w:type="band1Vert">
      <w:rPr>
        <w:rFonts w:ascii="Arial" w:hAnsi="Arial"/>
        <w:color w:val="404040"/>
        <w:sz w:val="22"/>
      </w:rPr>
    </w:tblStylePr>
    <w:tblStylePr w:type="band2Vert">
      <w:rPr>
        <w:rFonts w:ascii="Arial" w:hAnsi="Arial"/>
        <w:color w:val="404040"/>
        <w:sz w:val="22"/>
      </w:rPr>
      <w:tblPr/>
      <w:tcPr>
        <w:shd w:val="clear" w:color="F1CDED" w:themeColor="accent5" w:themeTint="34" w:fill="F1CDED"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F1CDED" w:themeColor="accent5" w:themeTint="34" w:fill="F1CDED" w:themeFill="accent5" w:themeFillTint="34"/>
      </w:tcPr>
    </w:tblStylePr>
  </w:style>
  <w:style w:type="table" w:customStyle="1" w:styleId="BorderedLined-Accent6">
    <w:name w:val="Bordered &amp; Lined - Accent 6"/>
    <w:basedOn w:val="NormaleTabelle"/>
    <w:uiPriority w:val="99"/>
    <w:pPr>
      <w:spacing w:after="0" w:line="240" w:lineRule="auto"/>
    </w:pPr>
    <w:rPr>
      <w:color w:val="404040"/>
      <w:sz w:val="20"/>
      <w:szCs w:val="20"/>
      <w:lang w:eastAsia="de-DE"/>
      <w14:ligatures w14:val="none"/>
    </w:rPr>
    <w:tblPr>
      <w:tblStyleRowBandSize w:val="1"/>
      <w:tblStyleColBandSize w:val="1"/>
      <w:tblBorders>
        <w:top w:val="single" w:sz="4" w:space="0" w:color="2D611B" w:themeColor="accent6" w:themeShade="95"/>
        <w:left w:val="single" w:sz="4" w:space="0" w:color="2D611B" w:themeColor="accent6" w:themeShade="95"/>
        <w:bottom w:val="single" w:sz="4" w:space="0" w:color="2D611B" w:themeColor="accent6" w:themeShade="95"/>
        <w:right w:val="single" w:sz="4" w:space="0" w:color="2D611B" w:themeColor="accent6" w:themeShade="95"/>
        <w:insideH w:val="single" w:sz="4" w:space="0" w:color="2D611B" w:themeColor="accent6" w:themeShade="95"/>
        <w:insideV w:val="single" w:sz="4" w:space="0" w:color="2D611B" w:themeColor="accent6" w:themeShade="95"/>
      </w:tblBorders>
    </w:tblPr>
    <w:tblStylePr w:type="firstRow">
      <w:rPr>
        <w:rFonts w:ascii="Arial" w:hAnsi="Arial"/>
        <w:color w:val="F2F2F2"/>
        <w:sz w:val="22"/>
      </w:rPr>
      <w:tblPr/>
      <w:tcPr>
        <w:shd w:val="clear" w:color="4EA72E" w:themeColor="accent6" w:fill="4EA72E" w:themeFill="accent6"/>
      </w:tcPr>
    </w:tblStylePr>
    <w:tblStylePr w:type="lastRow">
      <w:rPr>
        <w:rFonts w:ascii="Arial" w:hAnsi="Arial"/>
        <w:color w:val="F2F2F2"/>
        <w:sz w:val="22"/>
      </w:rPr>
      <w:tblPr/>
      <w:tcPr>
        <w:shd w:val="clear" w:color="4EA72E" w:themeColor="accent6" w:fill="4EA72E" w:themeFill="accent6"/>
      </w:tcPr>
    </w:tblStylePr>
    <w:tblStylePr w:type="firstCol">
      <w:rPr>
        <w:rFonts w:ascii="Arial" w:hAnsi="Arial"/>
        <w:color w:val="F2F2F2"/>
        <w:sz w:val="22"/>
      </w:rPr>
      <w:tblPr/>
      <w:tcPr>
        <w:shd w:val="clear" w:color="4EA72E" w:themeColor="accent6" w:fill="4EA72E" w:themeFill="accent6"/>
      </w:tcPr>
    </w:tblStylePr>
    <w:tblStylePr w:type="lastCol">
      <w:rPr>
        <w:rFonts w:ascii="Arial" w:hAnsi="Arial"/>
        <w:color w:val="F2F2F2"/>
        <w:sz w:val="22"/>
      </w:rPr>
      <w:tblPr/>
      <w:tcPr>
        <w:shd w:val="clear" w:color="4EA72E" w:themeColor="accent6" w:fill="4EA72E" w:themeFill="accent6"/>
      </w:tcPr>
    </w:tblStylePr>
    <w:tblStylePr w:type="band1Vert">
      <w:rPr>
        <w:rFonts w:ascii="Arial" w:hAnsi="Arial"/>
        <w:color w:val="404040"/>
        <w:sz w:val="22"/>
      </w:rPr>
    </w:tblStylePr>
    <w:tblStylePr w:type="band2Vert">
      <w:rPr>
        <w:rFonts w:ascii="Arial" w:hAnsi="Arial"/>
        <w:color w:val="404040"/>
        <w:sz w:val="22"/>
      </w:rPr>
      <w:tblPr/>
      <w:tcPr>
        <w:shd w:val="clear" w:color="D8F2CF" w:themeColor="accent6" w:themeTint="34" w:fill="D8F2CF"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F2CF" w:themeColor="accent6" w:themeTint="34" w:fill="D8F2CF" w:themeFill="accent6" w:themeFillTint="34"/>
      </w:tcPr>
    </w:tblStylePr>
  </w:style>
  <w:style w:type="table" w:customStyle="1" w:styleId="Bordered">
    <w:name w:val="Bordered"/>
    <w:basedOn w:val="NormaleTabelle"/>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NormaleTabelle"/>
    <w:uiPriority w:val="99"/>
    <w:pPr>
      <w:spacing w:after="0" w:line="240" w:lineRule="auto"/>
    </w:pPr>
    <w:tblPr>
      <w:tblStyleRowBandSize w:val="1"/>
      <w:tblStyleColBandSize w:val="1"/>
      <w:tblBorders>
        <w:top w:val="single" w:sz="4" w:space="0" w:color="81C9EA" w:themeColor="accent1" w:themeTint="67"/>
        <w:left w:val="single" w:sz="4" w:space="0" w:color="81C9EA" w:themeColor="accent1" w:themeTint="67"/>
        <w:bottom w:val="single" w:sz="4" w:space="0" w:color="81C9EA" w:themeColor="accent1" w:themeTint="67"/>
        <w:right w:val="single" w:sz="4" w:space="0" w:color="81C9EA" w:themeColor="accent1" w:themeTint="67"/>
        <w:insideH w:val="single" w:sz="4" w:space="0" w:color="81C9EA" w:themeColor="accent1" w:themeTint="67"/>
        <w:insideV w:val="single" w:sz="4" w:space="0" w:color="81C9EA" w:themeColor="accent1" w:themeTint="67"/>
      </w:tblBorders>
    </w:tblPr>
    <w:tblStylePr w:type="firstRow">
      <w:rPr>
        <w:rFonts w:ascii="Arial" w:hAnsi="Arial"/>
        <w:color w:val="404040"/>
        <w:sz w:val="22"/>
      </w:rPr>
      <w:tblPr/>
      <w:tcPr>
        <w:tcBorders>
          <w:bottom w:val="single" w:sz="12" w:space="0" w:color="156082" w:themeColor="accent1"/>
        </w:tcBorders>
      </w:tcPr>
    </w:tblStylePr>
    <w:tblStylePr w:type="lastRow">
      <w:rPr>
        <w:rFonts w:ascii="Arial" w:hAnsi="Arial"/>
        <w:color w:val="404040"/>
        <w:sz w:val="22"/>
      </w:rPr>
      <w:tblPr/>
      <w:tcPr>
        <w:tcBorders>
          <w:top w:val="single" w:sz="12" w:space="0" w:color="156082"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156082" w:themeColor="accent1"/>
        </w:tcBorders>
      </w:tcPr>
    </w:tblStylePr>
    <w:tblStylePr w:type="band1Horz">
      <w:rPr>
        <w:rFonts w:ascii="Arial" w:hAnsi="Arial"/>
        <w:color w:val="404040"/>
        <w:sz w:val="22"/>
      </w:rPr>
      <w:tblPr/>
      <w:tcPr>
        <w:tcBorders>
          <w:top w:val="single" w:sz="4" w:space="0" w:color="81C9EA" w:themeColor="accent1" w:themeTint="67"/>
          <w:left w:val="single" w:sz="4" w:space="0" w:color="81C9EA" w:themeColor="accent1" w:themeTint="67"/>
          <w:bottom w:val="single" w:sz="4" w:space="0" w:color="81C9EA" w:themeColor="accent1" w:themeTint="67"/>
          <w:right w:val="single" w:sz="4" w:space="0" w:color="81C9EA" w:themeColor="accent1" w:themeTint="67"/>
        </w:tcBorders>
      </w:tcPr>
    </w:tblStylePr>
  </w:style>
  <w:style w:type="table" w:customStyle="1" w:styleId="Bordered-Accent2">
    <w:name w:val="Bordered - Accent 2"/>
    <w:basedOn w:val="NormaleTabelle"/>
    <w:uiPriority w:val="99"/>
    <w:pPr>
      <w:spacing w:after="0" w:line="240" w:lineRule="auto"/>
    </w:pPr>
    <w:tblPr>
      <w:tblStyleRowBandSize w:val="1"/>
      <w:tblStyleColBandSize w:val="1"/>
      <w:tblBorders>
        <w:top w:val="single" w:sz="4" w:space="0" w:color="F6C5AB" w:themeColor="accent2" w:themeTint="67"/>
        <w:left w:val="single" w:sz="4" w:space="0" w:color="F6C5AB" w:themeColor="accent2" w:themeTint="67"/>
        <w:bottom w:val="single" w:sz="4" w:space="0" w:color="F6C5AB" w:themeColor="accent2" w:themeTint="67"/>
        <w:right w:val="single" w:sz="4" w:space="0" w:color="F6C5AB" w:themeColor="accent2" w:themeTint="67"/>
        <w:insideH w:val="single" w:sz="4" w:space="0" w:color="F6C5AB" w:themeColor="accent2" w:themeTint="67"/>
        <w:insideV w:val="single" w:sz="4" w:space="0" w:color="F6C5AB" w:themeColor="accent2" w:themeTint="67"/>
      </w:tblBorders>
    </w:tblPr>
    <w:tblStylePr w:type="firstRow">
      <w:rPr>
        <w:rFonts w:ascii="Arial" w:hAnsi="Arial"/>
        <w:color w:val="404040"/>
        <w:sz w:val="22"/>
      </w:rPr>
      <w:tblPr/>
      <w:tcPr>
        <w:tcBorders>
          <w:bottom w:val="single" w:sz="12" w:space="0" w:color="F2AA85" w:themeColor="accent2" w:themeTint="97"/>
        </w:tcBorders>
      </w:tcPr>
    </w:tblStylePr>
    <w:tblStylePr w:type="lastRow">
      <w:rPr>
        <w:rFonts w:ascii="Arial" w:hAnsi="Arial"/>
        <w:color w:val="404040"/>
        <w:sz w:val="22"/>
      </w:rPr>
      <w:tblPr/>
      <w:tcPr>
        <w:tcBorders>
          <w:top w:val="single" w:sz="12" w:space="0" w:color="F2AA8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2AA85" w:themeColor="accent2" w:themeTint="97"/>
        </w:tcBorders>
      </w:tcPr>
    </w:tblStylePr>
    <w:tblStylePr w:type="band1Horz">
      <w:rPr>
        <w:rFonts w:ascii="Arial" w:hAnsi="Arial"/>
        <w:color w:val="404040"/>
        <w:sz w:val="22"/>
      </w:rPr>
      <w:tblPr/>
      <w:tcPr>
        <w:tcBorders>
          <w:top w:val="single" w:sz="4" w:space="0" w:color="F6C5AB" w:themeColor="accent2" w:themeTint="67"/>
          <w:left w:val="single" w:sz="4" w:space="0" w:color="F6C5AB" w:themeColor="accent2" w:themeTint="67"/>
          <w:bottom w:val="single" w:sz="4" w:space="0" w:color="F6C5AB" w:themeColor="accent2" w:themeTint="67"/>
          <w:right w:val="single" w:sz="4" w:space="0" w:color="F6C5AB" w:themeColor="accent2" w:themeTint="67"/>
        </w:tcBorders>
      </w:tcPr>
    </w:tblStylePr>
  </w:style>
  <w:style w:type="table" w:customStyle="1" w:styleId="Bordered-Accent3">
    <w:name w:val="Bordered - Accent 3"/>
    <w:basedOn w:val="NormaleTabelle"/>
    <w:uiPriority w:val="99"/>
    <w:pPr>
      <w:spacing w:after="0" w:line="240" w:lineRule="auto"/>
    </w:pPr>
    <w:tblPr>
      <w:tblStyleRowBandSize w:val="1"/>
      <w:tblStyleColBandSize w:val="1"/>
      <w:tblBorders>
        <w:top w:val="single" w:sz="4" w:space="0" w:color="83E28F" w:themeColor="accent3" w:themeTint="67"/>
        <w:left w:val="single" w:sz="4" w:space="0" w:color="83E28F" w:themeColor="accent3" w:themeTint="67"/>
        <w:bottom w:val="single" w:sz="4" w:space="0" w:color="83E28F" w:themeColor="accent3" w:themeTint="67"/>
        <w:right w:val="single" w:sz="4" w:space="0" w:color="83E28F" w:themeColor="accent3" w:themeTint="67"/>
        <w:insideH w:val="single" w:sz="4" w:space="0" w:color="83E28F" w:themeColor="accent3" w:themeTint="67"/>
        <w:insideV w:val="single" w:sz="4" w:space="0" w:color="83E28F" w:themeColor="accent3" w:themeTint="67"/>
      </w:tblBorders>
    </w:tblPr>
    <w:tblStylePr w:type="firstRow">
      <w:rPr>
        <w:rFonts w:ascii="Arial" w:hAnsi="Arial"/>
        <w:color w:val="404040"/>
        <w:sz w:val="22"/>
      </w:rPr>
      <w:tblPr/>
      <w:tcPr>
        <w:tcBorders>
          <w:bottom w:val="single" w:sz="12" w:space="0" w:color="48D45B" w:themeColor="accent3" w:themeTint="98"/>
        </w:tcBorders>
      </w:tcPr>
    </w:tblStylePr>
    <w:tblStylePr w:type="lastRow">
      <w:rPr>
        <w:rFonts w:ascii="Arial" w:hAnsi="Arial"/>
        <w:color w:val="404040"/>
        <w:sz w:val="22"/>
      </w:rPr>
      <w:tblPr/>
      <w:tcPr>
        <w:tcBorders>
          <w:top w:val="single" w:sz="12" w:space="0" w:color="48D45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8D45B" w:themeColor="accent3" w:themeTint="98"/>
        </w:tcBorders>
      </w:tcPr>
    </w:tblStylePr>
    <w:tblStylePr w:type="band1Horz">
      <w:rPr>
        <w:rFonts w:ascii="Arial" w:hAnsi="Arial"/>
        <w:color w:val="404040"/>
        <w:sz w:val="22"/>
      </w:rPr>
      <w:tblPr/>
      <w:tcPr>
        <w:tcBorders>
          <w:top w:val="single" w:sz="4" w:space="0" w:color="83E28F" w:themeColor="accent3" w:themeTint="67"/>
          <w:left w:val="single" w:sz="4" w:space="0" w:color="83E28F" w:themeColor="accent3" w:themeTint="67"/>
          <w:bottom w:val="single" w:sz="4" w:space="0" w:color="83E28F" w:themeColor="accent3" w:themeTint="67"/>
          <w:right w:val="single" w:sz="4" w:space="0" w:color="83E28F" w:themeColor="accent3" w:themeTint="67"/>
        </w:tcBorders>
      </w:tcPr>
    </w:tblStylePr>
  </w:style>
  <w:style w:type="table" w:customStyle="1" w:styleId="Bordered-Accent4">
    <w:name w:val="Bordered - Accent 4"/>
    <w:basedOn w:val="NormaleTabelle"/>
    <w:uiPriority w:val="99"/>
    <w:pPr>
      <w:spacing w:after="0" w:line="240" w:lineRule="auto"/>
    </w:pPr>
    <w:tblPr>
      <w:tblStyleRowBandSize w:val="1"/>
      <w:tblStyleColBandSize w:val="1"/>
      <w:tblBorders>
        <w:top w:val="single" w:sz="4" w:space="0" w:color="94DBF7" w:themeColor="accent4" w:themeTint="67"/>
        <w:left w:val="single" w:sz="4" w:space="0" w:color="94DBF7" w:themeColor="accent4" w:themeTint="67"/>
        <w:bottom w:val="single" w:sz="4" w:space="0" w:color="94DBF7" w:themeColor="accent4" w:themeTint="67"/>
        <w:right w:val="single" w:sz="4" w:space="0" w:color="94DBF7" w:themeColor="accent4" w:themeTint="67"/>
        <w:insideH w:val="single" w:sz="4" w:space="0" w:color="94DBF7" w:themeColor="accent4" w:themeTint="67"/>
        <w:insideV w:val="single" w:sz="4" w:space="0" w:color="94DBF7" w:themeColor="accent4" w:themeTint="67"/>
      </w:tblBorders>
    </w:tblPr>
    <w:tblStylePr w:type="firstRow">
      <w:rPr>
        <w:rFonts w:ascii="Arial" w:hAnsi="Arial"/>
        <w:color w:val="404040"/>
        <w:sz w:val="22"/>
      </w:rPr>
      <w:tblPr/>
      <w:tcPr>
        <w:tcBorders>
          <w:bottom w:val="single" w:sz="12" w:space="0" w:color="5FCAF3" w:themeColor="accent4" w:themeTint="9A"/>
        </w:tcBorders>
      </w:tcPr>
    </w:tblStylePr>
    <w:tblStylePr w:type="lastRow">
      <w:rPr>
        <w:rFonts w:ascii="Arial" w:hAnsi="Arial"/>
        <w:color w:val="404040"/>
        <w:sz w:val="22"/>
      </w:rPr>
      <w:tblPr/>
      <w:tcPr>
        <w:tcBorders>
          <w:top w:val="single" w:sz="12" w:space="0" w:color="5FCAF3"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FCAF3" w:themeColor="accent4" w:themeTint="9A"/>
        </w:tcBorders>
      </w:tcPr>
    </w:tblStylePr>
    <w:tblStylePr w:type="band1Horz">
      <w:rPr>
        <w:rFonts w:ascii="Arial" w:hAnsi="Arial"/>
        <w:color w:val="404040"/>
        <w:sz w:val="22"/>
      </w:rPr>
      <w:tblPr/>
      <w:tcPr>
        <w:tcBorders>
          <w:top w:val="single" w:sz="4" w:space="0" w:color="94DBF7" w:themeColor="accent4" w:themeTint="67"/>
          <w:left w:val="single" w:sz="4" w:space="0" w:color="94DBF7" w:themeColor="accent4" w:themeTint="67"/>
          <w:bottom w:val="single" w:sz="4" w:space="0" w:color="94DBF7" w:themeColor="accent4" w:themeTint="67"/>
          <w:right w:val="single" w:sz="4" w:space="0" w:color="94DBF7" w:themeColor="accent4" w:themeTint="67"/>
        </w:tcBorders>
      </w:tcPr>
    </w:tblStylePr>
  </w:style>
  <w:style w:type="table" w:customStyle="1" w:styleId="Bordered-Accent5">
    <w:name w:val="Bordered - Accent 5"/>
    <w:basedOn w:val="NormaleTabelle"/>
    <w:uiPriority w:val="99"/>
    <w:pPr>
      <w:spacing w:after="0" w:line="240" w:lineRule="auto"/>
    </w:pPr>
    <w:tblPr>
      <w:tblStyleRowBandSize w:val="1"/>
      <w:tblStyleColBandSize w:val="1"/>
      <w:tblBorders>
        <w:top w:val="single" w:sz="4" w:space="0" w:color="E49DDC" w:themeColor="accent5" w:themeTint="67"/>
        <w:left w:val="single" w:sz="4" w:space="0" w:color="E49DDC" w:themeColor="accent5" w:themeTint="67"/>
        <w:bottom w:val="single" w:sz="4" w:space="0" w:color="E49DDC" w:themeColor="accent5" w:themeTint="67"/>
        <w:right w:val="single" w:sz="4" w:space="0" w:color="E49DDC" w:themeColor="accent5" w:themeTint="67"/>
        <w:insideH w:val="single" w:sz="4" w:space="0" w:color="E49DDC" w:themeColor="accent5" w:themeTint="67"/>
        <w:insideV w:val="single" w:sz="4" w:space="0" w:color="E49DDC" w:themeColor="accent5" w:themeTint="67"/>
      </w:tblBorders>
    </w:tblPr>
    <w:tblStylePr w:type="firstRow">
      <w:rPr>
        <w:rFonts w:ascii="Arial" w:hAnsi="Arial"/>
        <w:color w:val="404040"/>
        <w:sz w:val="22"/>
      </w:rPr>
      <w:tblPr/>
      <w:tcPr>
        <w:tcBorders>
          <w:bottom w:val="single" w:sz="12" w:space="0" w:color="D76CCB" w:themeColor="accent5" w:themeTint="9A"/>
        </w:tcBorders>
      </w:tcPr>
    </w:tblStylePr>
    <w:tblStylePr w:type="lastRow">
      <w:rPr>
        <w:rFonts w:ascii="Arial" w:hAnsi="Arial"/>
        <w:color w:val="404040"/>
        <w:sz w:val="22"/>
      </w:rPr>
      <w:tblPr/>
      <w:tcPr>
        <w:tcBorders>
          <w:top w:val="single" w:sz="12" w:space="0" w:color="D76CC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76CCB" w:themeColor="accent5" w:themeTint="9A"/>
        </w:tcBorders>
      </w:tcPr>
    </w:tblStylePr>
    <w:tblStylePr w:type="band1Horz">
      <w:rPr>
        <w:rFonts w:ascii="Arial" w:hAnsi="Arial"/>
        <w:color w:val="404040"/>
        <w:sz w:val="22"/>
      </w:rPr>
      <w:tblPr/>
      <w:tcPr>
        <w:tcBorders>
          <w:top w:val="single" w:sz="4" w:space="0" w:color="E49DDC" w:themeColor="accent5" w:themeTint="67"/>
          <w:left w:val="single" w:sz="4" w:space="0" w:color="E49DDC" w:themeColor="accent5" w:themeTint="67"/>
          <w:bottom w:val="single" w:sz="4" w:space="0" w:color="E49DDC" w:themeColor="accent5" w:themeTint="67"/>
          <w:right w:val="single" w:sz="4" w:space="0" w:color="E49DDC" w:themeColor="accent5" w:themeTint="67"/>
        </w:tcBorders>
      </w:tcPr>
    </w:tblStylePr>
  </w:style>
  <w:style w:type="table" w:customStyle="1" w:styleId="Bordered-Accent6">
    <w:name w:val="Bordered - Accent 6"/>
    <w:basedOn w:val="NormaleTabelle"/>
    <w:uiPriority w:val="99"/>
    <w:pPr>
      <w:spacing w:after="0" w:line="240" w:lineRule="auto"/>
    </w:pPr>
    <w:tblPr>
      <w:tblStyleRowBandSize w:val="1"/>
      <w:tblStyleColBandSize w:val="1"/>
      <w:tblBorders>
        <w:top w:val="single" w:sz="4" w:space="0" w:color="B2E5A0" w:themeColor="accent6" w:themeTint="67"/>
        <w:left w:val="single" w:sz="4" w:space="0" w:color="B2E5A0" w:themeColor="accent6" w:themeTint="67"/>
        <w:bottom w:val="single" w:sz="4" w:space="0" w:color="B2E5A0" w:themeColor="accent6" w:themeTint="67"/>
        <w:right w:val="single" w:sz="4" w:space="0" w:color="B2E5A0" w:themeColor="accent6" w:themeTint="67"/>
        <w:insideH w:val="single" w:sz="4" w:space="0" w:color="B2E5A0" w:themeColor="accent6" w:themeTint="67"/>
        <w:insideV w:val="single" w:sz="4" w:space="0" w:color="B2E5A0" w:themeColor="accent6" w:themeTint="67"/>
      </w:tblBorders>
    </w:tblPr>
    <w:tblStylePr w:type="firstRow">
      <w:rPr>
        <w:rFonts w:ascii="Arial" w:hAnsi="Arial"/>
        <w:color w:val="404040"/>
        <w:sz w:val="22"/>
      </w:rPr>
      <w:tblPr/>
      <w:tcPr>
        <w:tcBorders>
          <w:bottom w:val="single" w:sz="12" w:space="0" w:color="8ED873" w:themeColor="accent6" w:themeTint="98"/>
        </w:tcBorders>
      </w:tcPr>
    </w:tblStylePr>
    <w:tblStylePr w:type="lastRow">
      <w:rPr>
        <w:rFonts w:ascii="Arial" w:hAnsi="Arial"/>
        <w:color w:val="404040"/>
        <w:sz w:val="22"/>
      </w:rPr>
      <w:tblPr/>
      <w:tcPr>
        <w:tcBorders>
          <w:top w:val="single" w:sz="12" w:space="0" w:color="8ED873"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ED873" w:themeColor="accent6" w:themeTint="98"/>
        </w:tcBorders>
      </w:tcPr>
    </w:tblStylePr>
    <w:tblStylePr w:type="band1Horz">
      <w:rPr>
        <w:rFonts w:ascii="Arial" w:hAnsi="Arial"/>
        <w:color w:val="404040"/>
        <w:sz w:val="22"/>
      </w:rPr>
      <w:tblPr/>
      <w:tcPr>
        <w:tcBorders>
          <w:top w:val="single" w:sz="4" w:space="0" w:color="B2E5A0" w:themeColor="accent6" w:themeTint="67"/>
          <w:left w:val="single" w:sz="4" w:space="0" w:color="B2E5A0" w:themeColor="accent6" w:themeTint="67"/>
          <w:bottom w:val="single" w:sz="4" w:space="0" w:color="B2E5A0" w:themeColor="accent6" w:themeTint="67"/>
          <w:right w:val="single" w:sz="4" w:space="0" w:color="B2E5A0" w:themeColor="accent6" w:themeTint="67"/>
        </w:tcBorders>
      </w:tcPr>
    </w:tblStylePr>
  </w:style>
  <w:style w:type="paragraph" w:styleId="Funotentext">
    <w:name w:val="footnote text"/>
    <w:basedOn w:val="Standard"/>
    <w:link w:val="FunotentextZchn"/>
    <w:uiPriority w:val="99"/>
    <w:semiHidden/>
    <w:unhideWhenUsed/>
    <w:pPr>
      <w:spacing w:after="40" w:line="240" w:lineRule="auto"/>
    </w:pPr>
    <w:rPr>
      <w:sz w:val="18"/>
    </w:rPr>
  </w:style>
  <w:style w:type="character" w:customStyle="1" w:styleId="FunotentextZchn">
    <w:name w:val="Fußnotentext Zchn"/>
    <w:link w:val="Funotentext"/>
    <w:uiPriority w:val="99"/>
    <w:rPr>
      <w:sz w:val="18"/>
    </w:rPr>
  </w:style>
  <w:style w:type="character" w:styleId="Funotenzeichen">
    <w:name w:val="footnote reference"/>
    <w:basedOn w:val="Absatz-Standardschriftart"/>
    <w:uiPriority w:val="99"/>
    <w:unhideWhenUsed/>
    <w:rPr>
      <w:vertAlign w:val="superscript"/>
    </w:rPr>
  </w:style>
  <w:style w:type="paragraph" w:styleId="Endnotentext">
    <w:name w:val="endnote text"/>
    <w:basedOn w:val="Standard"/>
    <w:link w:val="EndnotentextZchn"/>
    <w:uiPriority w:val="99"/>
    <w:semiHidden/>
    <w:unhideWhenUsed/>
    <w:pPr>
      <w:spacing w:after="0" w:line="240" w:lineRule="auto"/>
    </w:pPr>
    <w:rPr>
      <w:sz w:val="20"/>
    </w:rPr>
  </w:style>
  <w:style w:type="character" w:customStyle="1" w:styleId="EndnotentextZchn">
    <w:name w:val="Endnotentext Zchn"/>
    <w:link w:val="Endnotentext"/>
    <w:uiPriority w:val="99"/>
    <w:rPr>
      <w:sz w:val="20"/>
    </w:rPr>
  </w:style>
  <w:style w:type="character" w:styleId="Endnotenzeichen">
    <w:name w:val="endnote reference"/>
    <w:basedOn w:val="Absatz-Standardschriftart"/>
    <w:uiPriority w:val="99"/>
    <w:semiHidden/>
    <w:unhideWhenUsed/>
    <w:rPr>
      <w:vertAlign w:val="superscript"/>
    </w:rPr>
  </w:style>
  <w:style w:type="paragraph" w:styleId="Verzeichnis4">
    <w:name w:val="toc 4"/>
    <w:basedOn w:val="Standard"/>
    <w:next w:val="Standard"/>
    <w:uiPriority w:val="39"/>
    <w:unhideWhenUsed/>
    <w:pPr>
      <w:spacing w:after="57"/>
      <w:ind w:left="850"/>
    </w:pPr>
  </w:style>
  <w:style w:type="paragraph" w:styleId="Verzeichnis5">
    <w:name w:val="toc 5"/>
    <w:basedOn w:val="Standard"/>
    <w:next w:val="Standard"/>
    <w:uiPriority w:val="39"/>
    <w:unhideWhenUsed/>
    <w:pPr>
      <w:spacing w:after="57"/>
      <w:ind w:left="1134"/>
    </w:pPr>
  </w:style>
  <w:style w:type="paragraph" w:styleId="Verzeichnis6">
    <w:name w:val="toc 6"/>
    <w:basedOn w:val="Standard"/>
    <w:next w:val="Standard"/>
    <w:uiPriority w:val="39"/>
    <w:unhideWhenUsed/>
    <w:pPr>
      <w:spacing w:after="57"/>
      <w:ind w:left="1417"/>
    </w:pPr>
  </w:style>
  <w:style w:type="paragraph" w:styleId="Verzeichnis7">
    <w:name w:val="toc 7"/>
    <w:basedOn w:val="Standard"/>
    <w:next w:val="Standard"/>
    <w:uiPriority w:val="39"/>
    <w:unhideWhenUsed/>
    <w:pPr>
      <w:spacing w:after="57"/>
      <w:ind w:left="1701"/>
    </w:pPr>
  </w:style>
  <w:style w:type="paragraph" w:styleId="Verzeichnis8">
    <w:name w:val="toc 8"/>
    <w:basedOn w:val="Standard"/>
    <w:next w:val="Standard"/>
    <w:uiPriority w:val="39"/>
    <w:unhideWhenUsed/>
    <w:pPr>
      <w:spacing w:after="57"/>
      <w:ind w:left="1984"/>
    </w:pPr>
  </w:style>
  <w:style w:type="paragraph" w:styleId="Verzeichnis9">
    <w:name w:val="toc 9"/>
    <w:basedOn w:val="Standard"/>
    <w:next w:val="Standard"/>
    <w:uiPriority w:val="39"/>
    <w:unhideWhenUsed/>
    <w:pPr>
      <w:spacing w:after="57"/>
      <w:ind w:left="2268"/>
    </w:pPr>
  </w:style>
  <w:style w:type="paragraph" w:styleId="Abbildungsverzeichnis">
    <w:name w:val="table of figures"/>
    <w:basedOn w:val="Standard"/>
    <w:next w:val="Standard"/>
    <w:uiPriority w:val="99"/>
    <w:unhideWhenUsed/>
    <w:pPr>
      <w:spacing w:after="0"/>
    </w:pPr>
  </w:style>
  <w:style w:type="character" w:customStyle="1" w:styleId="berschrift1Zchn">
    <w:name w:val="Überschrift 1 Zchn"/>
    <w:basedOn w:val="Absatz-Standardschriftart"/>
    <w:link w:val="berschrift1"/>
    <w:uiPriority w:val="9"/>
    <w:rPr>
      <w:rFonts w:eastAsiaTheme="majorEastAsia" w:cstheme="majorBidi"/>
      <w:b/>
      <w:sz w:val="28"/>
      <w:szCs w:val="40"/>
    </w:rPr>
  </w:style>
  <w:style w:type="character" w:customStyle="1" w:styleId="berschrift2Zchn">
    <w:name w:val="Überschrift 2 Zchn"/>
    <w:basedOn w:val="Absatz-Standardschriftart"/>
    <w:link w:val="berschrift2"/>
    <w:uiPriority w:val="9"/>
    <w:rPr>
      <w:rFonts w:eastAsiaTheme="majorEastAsia" w:cstheme="majorBidi"/>
      <w:b/>
      <w:sz w:val="28"/>
      <w:szCs w:val="32"/>
    </w:rPr>
  </w:style>
  <w:style w:type="character" w:customStyle="1" w:styleId="berschrift3Zchn">
    <w:name w:val="Überschrift 3 Zchn"/>
    <w:basedOn w:val="Absatz-Standardschriftart"/>
    <w:link w:val="berschrift3"/>
    <w:uiPriority w:val="9"/>
    <w:rPr>
      <w:rFonts w:eastAsiaTheme="majorEastAsia" w:cstheme="majorBidi"/>
      <w:b/>
      <w:sz w:val="24"/>
      <w:szCs w:val="28"/>
    </w:rPr>
  </w:style>
  <w:style w:type="character" w:customStyle="1" w:styleId="berschrift4Zchn">
    <w:name w:val="Überschrift 4 Zchn"/>
    <w:basedOn w:val="Absatz-Standardschriftart"/>
    <w:link w:val="berschrift4"/>
    <w:uiPriority w:val="9"/>
    <w:semiHidden/>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Pr>
      <w:rFonts w:eastAsiaTheme="majorEastAsia" w:cstheme="majorBidi"/>
      <w:color w:val="272727" w:themeColor="text1" w:themeTint="D8"/>
    </w:rPr>
  </w:style>
  <w:style w:type="paragraph" w:styleId="Titel">
    <w:name w:val="Title"/>
    <w:basedOn w:val="Standard"/>
    <w:next w:val="Standard"/>
    <w:link w:val="TitelZchn"/>
    <w:uiPriority w:val="10"/>
    <w:qFormat/>
    <w:pPr>
      <w:spacing w:after="80" w:line="240" w:lineRule="auto"/>
      <w:contextualSpacing/>
    </w:pPr>
    <w:rPr>
      <w:rFonts w:asciiTheme="majorHAnsi" w:eastAsiaTheme="majorEastAsia" w:hAnsiTheme="majorHAnsi" w:cstheme="majorBidi"/>
      <w:spacing w:val="-10"/>
      <w:sz w:val="56"/>
      <w:szCs w:val="56"/>
    </w:rPr>
  </w:style>
  <w:style w:type="character" w:customStyle="1" w:styleId="TitelZchn">
    <w:name w:val="Titel Zchn"/>
    <w:basedOn w:val="Absatz-Standardschriftart"/>
    <w:link w:val="Titel"/>
    <w:uiPriority w:val="10"/>
    <w:rPr>
      <w:rFonts w:asciiTheme="majorHAnsi" w:eastAsiaTheme="majorEastAsia" w:hAnsiTheme="majorHAnsi" w:cstheme="majorBidi"/>
      <w:spacing w:val="-10"/>
      <w:sz w:val="56"/>
      <w:szCs w:val="56"/>
    </w:rPr>
  </w:style>
  <w:style w:type="paragraph" w:styleId="Untertitel">
    <w:name w:val="Subtitle"/>
    <w:basedOn w:val="Standard"/>
    <w:next w:val="Standard"/>
    <w:link w:val="UntertitelZchn"/>
    <w:uiPriority w:val="11"/>
    <w:qFormat/>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pPr>
      <w:spacing w:before="160"/>
      <w:jc w:val="center"/>
    </w:pPr>
    <w:rPr>
      <w:i/>
      <w:iCs/>
      <w:color w:val="404040" w:themeColor="text1" w:themeTint="BF"/>
    </w:rPr>
  </w:style>
  <w:style w:type="character" w:customStyle="1" w:styleId="ZitatZchn">
    <w:name w:val="Zitat Zchn"/>
    <w:basedOn w:val="Absatz-Standardschriftart"/>
    <w:link w:val="Zitat"/>
    <w:uiPriority w:val="29"/>
    <w:rPr>
      <w:i/>
      <w:iCs/>
      <w:color w:val="404040" w:themeColor="text1" w:themeTint="BF"/>
    </w:rPr>
  </w:style>
  <w:style w:type="paragraph" w:styleId="Listenabsatz">
    <w:name w:val="List Paragraph"/>
    <w:basedOn w:val="Standard"/>
    <w:uiPriority w:val="34"/>
    <w:qFormat/>
    <w:pPr>
      <w:ind w:left="720"/>
      <w:contextualSpacing/>
    </w:pPr>
  </w:style>
  <w:style w:type="character" w:styleId="IntensiveHervorhebung">
    <w:name w:val="Intense Emphasis"/>
    <w:basedOn w:val="Absatz-Standardschriftart"/>
    <w:uiPriority w:val="21"/>
    <w:qFormat/>
    <w:rPr>
      <w:i/>
      <w:iCs/>
      <w:color w:val="0F4761" w:themeColor="accent1" w:themeShade="BF"/>
    </w:rPr>
  </w:style>
  <w:style w:type="paragraph" w:styleId="IntensivesZitat">
    <w:name w:val="Intense Quote"/>
    <w:basedOn w:val="Standard"/>
    <w:next w:val="Standard"/>
    <w:link w:val="IntensivesZitatZchn"/>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Pr>
      <w:i/>
      <w:iCs/>
      <w:color w:val="0F4761" w:themeColor="accent1" w:themeShade="BF"/>
    </w:rPr>
  </w:style>
  <w:style w:type="character" w:styleId="IntensiverVerweis">
    <w:name w:val="Intense Reference"/>
    <w:basedOn w:val="Absatz-Standardschriftart"/>
    <w:uiPriority w:val="32"/>
    <w:qFormat/>
    <w:rPr>
      <w:b/>
      <w:bCs/>
      <w:smallCaps/>
      <w:color w:val="0F4761" w:themeColor="accent1" w:themeShade="BF"/>
      <w:spacing w:val="5"/>
    </w:rPr>
  </w:style>
  <w:style w:type="paragraph" w:styleId="Inhaltsverzeichnisberschrift">
    <w:name w:val="TOC Heading"/>
    <w:basedOn w:val="berschrift1"/>
    <w:next w:val="Standard"/>
    <w:uiPriority w:val="39"/>
    <w:unhideWhenUsed/>
    <w:qFormat/>
    <w:pPr>
      <w:spacing w:before="240" w:after="0"/>
      <w:outlineLvl w:val="9"/>
    </w:pPr>
    <w:rPr>
      <w:sz w:val="32"/>
      <w:szCs w:val="32"/>
      <w:lang w:eastAsia="de-DE"/>
      <w14:ligatures w14:val="none"/>
    </w:rPr>
  </w:style>
  <w:style w:type="paragraph" w:styleId="Verzeichnis1">
    <w:name w:val="toc 1"/>
    <w:basedOn w:val="Standard"/>
    <w:next w:val="Standard"/>
    <w:uiPriority w:val="39"/>
    <w:unhideWhenUsed/>
    <w:pPr>
      <w:spacing w:after="100"/>
    </w:pPr>
  </w:style>
  <w:style w:type="paragraph" w:styleId="Verzeichnis2">
    <w:name w:val="toc 2"/>
    <w:basedOn w:val="Standard"/>
    <w:next w:val="Standard"/>
    <w:uiPriority w:val="39"/>
    <w:unhideWhenUsed/>
    <w:pPr>
      <w:spacing w:after="100"/>
      <w:ind w:left="220"/>
    </w:pPr>
  </w:style>
  <w:style w:type="paragraph" w:styleId="Verzeichnis3">
    <w:name w:val="toc 3"/>
    <w:basedOn w:val="Standard"/>
    <w:next w:val="Standard"/>
    <w:uiPriority w:val="39"/>
    <w:unhideWhenUsed/>
    <w:pPr>
      <w:spacing w:after="100"/>
      <w:ind w:left="440"/>
    </w:pPr>
  </w:style>
  <w:style w:type="character" w:styleId="Hyperlink">
    <w:name w:val="Hyperlink"/>
    <w:basedOn w:val="Absatz-Standardschriftart"/>
    <w:uiPriority w:val="99"/>
    <w:unhideWhenUsed/>
    <w:rPr>
      <w:color w:val="467886" w:themeColor="hyperlink"/>
      <w:u w:val="single"/>
    </w:rPr>
  </w:style>
  <w:style w:type="paragraph" w:customStyle="1" w:styleId="Flietext">
    <w:name w:val="Fließtext"/>
    <w:basedOn w:val="Standard"/>
    <w:link w:val="FlietextZchn"/>
    <w:qFormat/>
    <w:pPr>
      <w:spacing w:before="120" w:after="480" w:line="360" w:lineRule="auto"/>
      <w:jc w:val="both"/>
    </w:pPr>
    <w:rPr>
      <w:sz w:val="24"/>
    </w:rPr>
  </w:style>
  <w:style w:type="character" w:customStyle="1" w:styleId="FlietextZchn">
    <w:name w:val="Fließtext Zchn"/>
    <w:basedOn w:val="Absatz-Standardschriftart"/>
    <w:link w:val="Flietext"/>
    <w:rPr>
      <w:sz w:val="24"/>
    </w:rPr>
  </w:style>
  <w:style w:type="paragraph" w:styleId="Kopfzeile">
    <w:name w:val="header"/>
    <w:basedOn w:val="Standard"/>
    <w:link w:val="KopfzeileZchn"/>
    <w:uiPriority w:val="99"/>
    <w:unhideWhenUse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tyle>
  <w:style w:type="paragraph" w:styleId="Fuzeile">
    <w:name w:val="footer"/>
    <w:basedOn w:val="Standard"/>
    <w:link w:val="FuzeileZchn"/>
    <w:uiPriority w:val="99"/>
    <w:unhideWhenUsed/>
    <w:pPr>
      <w:tabs>
        <w:tab w:val="center" w:pos="4536"/>
        <w:tab w:val="right" w:pos="9072"/>
      </w:tabs>
      <w:spacing w:after="0" w:line="240" w:lineRule="auto"/>
    </w:pPr>
  </w:style>
  <w:style w:type="character" w:customStyle="1" w:styleId="FuzeileZchn">
    <w:name w:val="Fußzeile Zchn"/>
    <w:basedOn w:val="Absatz-Standardschriftart"/>
    <w:link w:val="Fuzeile"/>
    <w:uiPriority w:val="99"/>
  </w:style>
  <w:style w:type="character" w:styleId="Kommentarzeichen">
    <w:name w:val="annotation reference"/>
    <w:basedOn w:val="Absatz-Standardschriftart"/>
    <w:uiPriority w:val="99"/>
    <w:semiHidden/>
    <w:unhideWhenUsed/>
    <w:rPr>
      <w:sz w:val="16"/>
      <w:szCs w:val="16"/>
    </w:rPr>
  </w:style>
  <w:style w:type="paragraph" w:styleId="Kommentartext">
    <w:name w:val="annotation text"/>
    <w:basedOn w:val="Standard"/>
    <w:link w:val="KommentartextZchn"/>
    <w:uiPriority w:val="99"/>
    <w:unhideWhenUsed/>
    <w:pPr>
      <w:spacing w:line="240" w:lineRule="auto"/>
    </w:pPr>
    <w:rPr>
      <w:sz w:val="20"/>
      <w:szCs w:val="20"/>
    </w:rPr>
  </w:style>
  <w:style w:type="character" w:customStyle="1" w:styleId="KommentartextZchn">
    <w:name w:val="Kommentartext Zchn"/>
    <w:basedOn w:val="Absatz-Standardschriftart"/>
    <w:link w:val="Kommentartext"/>
    <w:uiPriority w:val="99"/>
    <w:rPr>
      <w:sz w:val="20"/>
      <w:szCs w:val="20"/>
    </w:rPr>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b/>
      <w:bCs/>
      <w:sz w:val="20"/>
      <w:szCs w:val="20"/>
    </w:rPr>
  </w:style>
  <w:style w:type="paragraph" w:customStyle="1" w:styleId="paragraph">
    <w:name w:val="paragraph"/>
    <w:basedOn w:val="Standard"/>
    <w:pPr>
      <w:spacing w:before="100" w:beforeAutospacing="1" w:after="100" w:afterAutospacing="1" w:line="240" w:lineRule="auto"/>
    </w:pPr>
    <w:rPr>
      <w:rFonts w:ascii="Times New Roman" w:eastAsia="Times New Roman" w:hAnsi="Times New Roman" w:cs="Times New Roman"/>
      <w:sz w:val="24"/>
      <w:szCs w:val="24"/>
      <w:lang w:eastAsia="de-DE"/>
      <w14:ligatures w14:val="none"/>
    </w:rPr>
  </w:style>
  <w:style w:type="character" w:customStyle="1" w:styleId="normaltextrun">
    <w:name w:val="normaltextrun"/>
    <w:basedOn w:val="Absatz-Standardschriftart"/>
  </w:style>
  <w:style w:type="character" w:customStyle="1" w:styleId="eop">
    <w:name w:val="eop"/>
    <w:basedOn w:val="Absatz-Standardschriftart"/>
  </w:style>
  <w:style w:type="character" w:styleId="NichtaufgelsteErwhnung">
    <w:name w:val="Unresolved Mention"/>
    <w:basedOn w:val="Absatz-Standardschriftart"/>
    <w:uiPriority w:val="99"/>
    <w:semiHidden/>
    <w:unhideWhenUsed/>
    <w:rPr>
      <w:color w:val="605E5C"/>
      <w:shd w:val="clear" w:color="auto" w:fill="E1DFDD"/>
    </w:rPr>
  </w:style>
  <w:style w:type="paragraph" w:styleId="StandardWeb">
    <w:name w:val="Normal (Web)"/>
    <w:basedOn w:val="Standard"/>
    <w:uiPriority w:val="99"/>
    <w:semiHidden/>
    <w:unhideWhenUsed/>
    <w:pPr>
      <w:spacing w:before="100" w:beforeAutospacing="1" w:after="100" w:afterAutospacing="1" w:line="240" w:lineRule="auto"/>
    </w:pPr>
    <w:rPr>
      <w:rFonts w:ascii="Times New Roman" w:eastAsia="Times New Roman" w:hAnsi="Times New Roman" w:cs="Times New Roman"/>
      <w:sz w:val="24"/>
      <w:szCs w:val="24"/>
      <w:lang w:eastAsia="de-DE"/>
      <w14:ligatures w14:val="none"/>
    </w:rPr>
  </w:style>
  <w:style w:type="character" w:customStyle="1" w:styleId="hgkelc">
    <w:name w:val="hgkelc"/>
    <w:basedOn w:val="Absatz-Standardschriftart"/>
  </w:style>
  <w:style w:type="character" w:styleId="BesuchterLink">
    <w:name w:val="FollowedHyperlink"/>
    <w:basedOn w:val="Absatz-Standardschriftart"/>
    <w:uiPriority w:val="99"/>
    <w:semiHidden/>
    <w:unhideWhenUsed/>
    <w:rPr>
      <w:color w:val="96607D" w:themeColor="followedHyperlink"/>
      <w:u w:val="single"/>
    </w:rPr>
  </w:style>
  <w:style w:type="character" w:styleId="Hervorhebung">
    <w:name w:val="Emphasis"/>
    <w:basedOn w:val="Absatz-Standardschriftart"/>
    <w:uiPriority w:val="20"/>
    <w:qFormat/>
    <w:rPr>
      <w:i/>
      <w:iCs/>
    </w:rPr>
  </w:style>
  <w:style w:type="character" w:customStyle="1" w:styleId="cf01">
    <w:name w:val="cf01"/>
    <w:basedOn w:val="Absatz-Standardschriftart"/>
    <w:rPr>
      <w:rFonts w:ascii="Segoe UI" w:hAnsi="Segoe UI" w:cs="Segoe UI" w:hint="default"/>
      <w:sz w:val="18"/>
      <w:szCs w:val="18"/>
    </w:rPr>
  </w:style>
  <w:style w:type="paragraph" w:styleId="berarbeitung">
    <w:name w:val="Revision"/>
    <w:hidden/>
    <w:uiPriority w:val="99"/>
    <w:semiHidden/>
    <w:rsid w:val="00C47C7B"/>
    <w:pPr>
      <w:spacing w:after="0" w:line="240" w:lineRule="auto"/>
    </w:pPr>
  </w:style>
  <w:style w:type="character" w:customStyle="1" w:styleId="docdata">
    <w:name w:val="docdata"/>
    <w:aliases w:val="docy,v5,15089,bqiaagaaecgoaaagujcaaaouoaaabai4aaaaaaaaaaaaaaaaaaaaaaaaaaaaaaaaaaaaaaaaaaaaaaaaaaaaaaaaaaaaaaaaaaaaaaaaaaaaaaaaaaaaaaaaaaaaaaaaaaaaaaaaaaaaaaaaaaaaaaaaaaaaaaaaaaaaaaaaaaaaaaaaaaaaaaaaaaaaaaaaaaaaaaaaaaaaaaaaaaaaaaaaaaaaaaaaaaaaaaa"/>
    <w:basedOn w:val="Absatz-Standardschriftart"/>
    <w:rsid w:val="00293B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0926885">
      <w:bodyDiv w:val="1"/>
      <w:marLeft w:val="0"/>
      <w:marRight w:val="0"/>
      <w:marTop w:val="0"/>
      <w:marBottom w:val="0"/>
      <w:divBdr>
        <w:top w:val="none" w:sz="0" w:space="0" w:color="auto"/>
        <w:left w:val="none" w:sz="0" w:space="0" w:color="auto"/>
        <w:bottom w:val="none" w:sz="0" w:space="0" w:color="auto"/>
        <w:right w:val="none" w:sz="0" w:space="0" w:color="auto"/>
      </w:divBdr>
    </w:div>
    <w:div w:id="182407457">
      <w:bodyDiv w:val="1"/>
      <w:marLeft w:val="0"/>
      <w:marRight w:val="0"/>
      <w:marTop w:val="0"/>
      <w:marBottom w:val="0"/>
      <w:divBdr>
        <w:top w:val="none" w:sz="0" w:space="0" w:color="auto"/>
        <w:left w:val="none" w:sz="0" w:space="0" w:color="auto"/>
        <w:bottom w:val="none" w:sz="0" w:space="0" w:color="auto"/>
        <w:right w:val="none" w:sz="0" w:space="0" w:color="auto"/>
      </w:divBdr>
      <w:divsChild>
        <w:div w:id="1585987562">
          <w:marLeft w:val="0"/>
          <w:marRight w:val="0"/>
          <w:marTop w:val="0"/>
          <w:marBottom w:val="0"/>
          <w:divBdr>
            <w:top w:val="none" w:sz="0" w:space="0" w:color="auto"/>
            <w:left w:val="none" w:sz="0" w:space="0" w:color="auto"/>
            <w:bottom w:val="none" w:sz="0" w:space="0" w:color="auto"/>
            <w:right w:val="none" w:sz="0" w:space="0" w:color="auto"/>
          </w:divBdr>
        </w:div>
      </w:divsChild>
    </w:div>
    <w:div w:id="219291115">
      <w:bodyDiv w:val="1"/>
      <w:marLeft w:val="0"/>
      <w:marRight w:val="0"/>
      <w:marTop w:val="0"/>
      <w:marBottom w:val="0"/>
      <w:divBdr>
        <w:top w:val="none" w:sz="0" w:space="0" w:color="auto"/>
        <w:left w:val="none" w:sz="0" w:space="0" w:color="auto"/>
        <w:bottom w:val="none" w:sz="0" w:space="0" w:color="auto"/>
        <w:right w:val="none" w:sz="0" w:space="0" w:color="auto"/>
      </w:divBdr>
    </w:div>
    <w:div w:id="354967844">
      <w:bodyDiv w:val="1"/>
      <w:marLeft w:val="0"/>
      <w:marRight w:val="0"/>
      <w:marTop w:val="0"/>
      <w:marBottom w:val="0"/>
      <w:divBdr>
        <w:top w:val="none" w:sz="0" w:space="0" w:color="auto"/>
        <w:left w:val="none" w:sz="0" w:space="0" w:color="auto"/>
        <w:bottom w:val="none" w:sz="0" w:space="0" w:color="auto"/>
        <w:right w:val="none" w:sz="0" w:space="0" w:color="auto"/>
      </w:divBdr>
    </w:div>
    <w:div w:id="405693532">
      <w:bodyDiv w:val="1"/>
      <w:marLeft w:val="0"/>
      <w:marRight w:val="0"/>
      <w:marTop w:val="0"/>
      <w:marBottom w:val="0"/>
      <w:divBdr>
        <w:top w:val="none" w:sz="0" w:space="0" w:color="auto"/>
        <w:left w:val="none" w:sz="0" w:space="0" w:color="auto"/>
        <w:bottom w:val="none" w:sz="0" w:space="0" w:color="auto"/>
        <w:right w:val="none" w:sz="0" w:space="0" w:color="auto"/>
      </w:divBdr>
      <w:divsChild>
        <w:div w:id="1233126265">
          <w:marLeft w:val="0"/>
          <w:marRight w:val="0"/>
          <w:marTop w:val="0"/>
          <w:marBottom w:val="0"/>
          <w:divBdr>
            <w:top w:val="none" w:sz="0" w:space="0" w:color="auto"/>
            <w:left w:val="none" w:sz="0" w:space="0" w:color="auto"/>
            <w:bottom w:val="none" w:sz="0" w:space="0" w:color="auto"/>
            <w:right w:val="none" w:sz="0" w:space="0" w:color="auto"/>
          </w:divBdr>
        </w:div>
        <w:div w:id="1309936625">
          <w:marLeft w:val="0"/>
          <w:marRight w:val="0"/>
          <w:marTop w:val="0"/>
          <w:marBottom w:val="0"/>
          <w:divBdr>
            <w:top w:val="none" w:sz="0" w:space="0" w:color="auto"/>
            <w:left w:val="none" w:sz="0" w:space="0" w:color="auto"/>
            <w:bottom w:val="none" w:sz="0" w:space="0" w:color="auto"/>
            <w:right w:val="none" w:sz="0" w:space="0" w:color="auto"/>
          </w:divBdr>
        </w:div>
      </w:divsChild>
    </w:div>
    <w:div w:id="410127546">
      <w:bodyDiv w:val="1"/>
      <w:marLeft w:val="0"/>
      <w:marRight w:val="0"/>
      <w:marTop w:val="0"/>
      <w:marBottom w:val="0"/>
      <w:divBdr>
        <w:top w:val="none" w:sz="0" w:space="0" w:color="auto"/>
        <w:left w:val="none" w:sz="0" w:space="0" w:color="auto"/>
        <w:bottom w:val="none" w:sz="0" w:space="0" w:color="auto"/>
        <w:right w:val="none" w:sz="0" w:space="0" w:color="auto"/>
      </w:divBdr>
    </w:div>
    <w:div w:id="721099317">
      <w:bodyDiv w:val="1"/>
      <w:marLeft w:val="0"/>
      <w:marRight w:val="0"/>
      <w:marTop w:val="0"/>
      <w:marBottom w:val="0"/>
      <w:divBdr>
        <w:top w:val="none" w:sz="0" w:space="0" w:color="auto"/>
        <w:left w:val="none" w:sz="0" w:space="0" w:color="auto"/>
        <w:bottom w:val="none" w:sz="0" w:space="0" w:color="auto"/>
        <w:right w:val="none" w:sz="0" w:space="0" w:color="auto"/>
      </w:divBdr>
    </w:div>
    <w:div w:id="850608257">
      <w:bodyDiv w:val="1"/>
      <w:marLeft w:val="0"/>
      <w:marRight w:val="0"/>
      <w:marTop w:val="0"/>
      <w:marBottom w:val="0"/>
      <w:divBdr>
        <w:top w:val="none" w:sz="0" w:space="0" w:color="auto"/>
        <w:left w:val="none" w:sz="0" w:space="0" w:color="auto"/>
        <w:bottom w:val="none" w:sz="0" w:space="0" w:color="auto"/>
        <w:right w:val="none" w:sz="0" w:space="0" w:color="auto"/>
      </w:divBdr>
    </w:div>
    <w:div w:id="1141726320">
      <w:bodyDiv w:val="1"/>
      <w:marLeft w:val="0"/>
      <w:marRight w:val="0"/>
      <w:marTop w:val="0"/>
      <w:marBottom w:val="0"/>
      <w:divBdr>
        <w:top w:val="none" w:sz="0" w:space="0" w:color="auto"/>
        <w:left w:val="none" w:sz="0" w:space="0" w:color="auto"/>
        <w:bottom w:val="none" w:sz="0" w:space="0" w:color="auto"/>
        <w:right w:val="none" w:sz="0" w:space="0" w:color="auto"/>
      </w:divBdr>
    </w:div>
    <w:div w:id="1325011735">
      <w:bodyDiv w:val="1"/>
      <w:marLeft w:val="0"/>
      <w:marRight w:val="0"/>
      <w:marTop w:val="0"/>
      <w:marBottom w:val="0"/>
      <w:divBdr>
        <w:top w:val="none" w:sz="0" w:space="0" w:color="auto"/>
        <w:left w:val="none" w:sz="0" w:space="0" w:color="auto"/>
        <w:bottom w:val="none" w:sz="0" w:space="0" w:color="auto"/>
        <w:right w:val="none" w:sz="0" w:space="0" w:color="auto"/>
      </w:divBdr>
      <w:divsChild>
        <w:div w:id="1325622137">
          <w:marLeft w:val="720"/>
          <w:marRight w:val="0"/>
          <w:marTop w:val="200"/>
          <w:marBottom w:val="0"/>
          <w:divBdr>
            <w:top w:val="none" w:sz="0" w:space="0" w:color="auto"/>
            <w:left w:val="none" w:sz="0" w:space="0" w:color="auto"/>
            <w:bottom w:val="none" w:sz="0" w:space="0" w:color="auto"/>
            <w:right w:val="none" w:sz="0" w:space="0" w:color="auto"/>
          </w:divBdr>
        </w:div>
      </w:divsChild>
    </w:div>
    <w:div w:id="1811828950">
      <w:bodyDiv w:val="1"/>
      <w:marLeft w:val="0"/>
      <w:marRight w:val="0"/>
      <w:marTop w:val="0"/>
      <w:marBottom w:val="0"/>
      <w:divBdr>
        <w:top w:val="none" w:sz="0" w:space="0" w:color="auto"/>
        <w:left w:val="none" w:sz="0" w:space="0" w:color="auto"/>
        <w:bottom w:val="none" w:sz="0" w:space="0" w:color="auto"/>
        <w:right w:val="none" w:sz="0" w:space="0" w:color="auto"/>
      </w:divBdr>
    </w:div>
    <w:div w:id="1894661330">
      <w:bodyDiv w:val="1"/>
      <w:marLeft w:val="0"/>
      <w:marRight w:val="0"/>
      <w:marTop w:val="0"/>
      <w:marBottom w:val="0"/>
      <w:divBdr>
        <w:top w:val="none" w:sz="0" w:space="0" w:color="auto"/>
        <w:left w:val="none" w:sz="0" w:space="0" w:color="auto"/>
        <w:bottom w:val="none" w:sz="0" w:space="0" w:color="auto"/>
        <w:right w:val="none" w:sz="0" w:space="0" w:color="auto"/>
      </w:divBdr>
      <w:divsChild>
        <w:div w:id="958954604">
          <w:marLeft w:val="720"/>
          <w:marRight w:val="0"/>
          <w:marTop w:val="200"/>
          <w:marBottom w:val="0"/>
          <w:divBdr>
            <w:top w:val="none" w:sz="0" w:space="0" w:color="auto"/>
            <w:left w:val="none" w:sz="0" w:space="0" w:color="auto"/>
            <w:bottom w:val="none" w:sz="0" w:space="0" w:color="auto"/>
            <w:right w:val="none" w:sz="0" w:space="0" w:color="auto"/>
          </w:divBdr>
        </w:div>
      </w:divsChild>
    </w:div>
    <w:div w:id="1977026363">
      <w:bodyDiv w:val="1"/>
      <w:marLeft w:val="0"/>
      <w:marRight w:val="0"/>
      <w:marTop w:val="0"/>
      <w:marBottom w:val="0"/>
      <w:divBdr>
        <w:top w:val="none" w:sz="0" w:space="0" w:color="auto"/>
        <w:left w:val="none" w:sz="0" w:space="0" w:color="auto"/>
        <w:bottom w:val="none" w:sz="0" w:space="0" w:color="auto"/>
        <w:right w:val="none" w:sz="0" w:space="0" w:color="auto"/>
      </w:divBdr>
      <w:divsChild>
        <w:div w:id="1254322063">
          <w:marLeft w:val="720"/>
          <w:marRight w:val="0"/>
          <w:marTop w:val="200"/>
          <w:marBottom w:val="0"/>
          <w:divBdr>
            <w:top w:val="none" w:sz="0" w:space="0" w:color="auto"/>
            <w:left w:val="none" w:sz="0" w:space="0" w:color="auto"/>
            <w:bottom w:val="none" w:sz="0" w:space="0" w:color="auto"/>
            <w:right w:val="none" w:sz="0" w:space="0" w:color="auto"/>
          </w:divBdr>
        </w:div>
      </w:divsChild>
    </w:div>
    <w:div w:id="2039548734">
      <w:bodyDiv w:val="1"/>
      <w:marLeft w:val="0"/>
      <w:marRight w:val="0"/>
      <w:marTop w:val="0"/>
      <w:marBottom w:val="0"/>
      <w:divBdr>
        <w:top w:val="none" w:sz="0" w:space="0" w:color="auto"/>
        <w:left w:val="none" w:sz="0" w:space="0" w:color="auto"/>
        <w:bottom w:val="none" w:sz="0" w:space="0" w:color="auto"/>
        <w:right w:val="none" w:sz="0" w:space="0" w:color="auto"/>
      </w:divBdr>
    </w:div>
    <w:div w:id="2095786387">
      <w:bodyDiv w:val="1"/>
      <w:marLeft w:val="0"/>
      <w:marRight w:val="0"/>
      <w:marTop w:val="0"/>
      <w:marBottom w:val="0"/>
      <w:divBdr>
        <w:top w:val="none" w:sz="0" w:space="0" w:color="auto"/>
        <w:left w:val="none" w:sz="0" w:space="0" w:color="auto"/>
        <w:bottom w:val="none" w:sz="0" w:space="0" w:color="auto"/>
        <w:right w:val="none" w:sz="0" w:space="0" w:color="auto"/>
      </w:divBdr>
    </w:div>
    <w:div w:id="2110271164">
      <w:bodyDiv w:val="1"/>
      <w:marLeft w:val="0"/>
      <w:marRight w:val="0"/>
      <w:marTop w:val="0"/>
      <w:marBottom w:val="0"/>
      <w:divBdr>
        <w:top w:val="none" w:sz="0" w:space="0" w:color="auto"/>
        <w:left w:val="none" w:sz="0" w:space="0" w:color="auto"/>
        <w:bottom w:val="none" w:sz="0" w:space="0" w:color="auto"/>
        <w:right w:val="none" w:sz="0" w:space="0" w:color="auto"/>
      </w:divBdr>
    </w:div>
    <w:div w:id="2129004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encoreproject.eu/wp-content/uploads/2024/02/D5.1-State-of-the-Art-Report_-Quality-in-European-OER-Ecosystems.pdf" TargetMode="External"/><Relationship Id="rId21" Type="http://schemas.openxmlformats.org/officeDocument/2006/relationships/hyperlink" Target="https://www.bmz.de/de/themen/menschenrecht-bildung" TargetMode="External"/><Relationship Id="rId42" Type="http://schemas.openxmlformats.org/officeDocument/2006/relationships/hyperlink" Target="https://open-educational-resources.de/5rs-auf-deutsch/" TargetMode="External"/><Relationship Id="rId47" Type="http://schemas.openxmlformats.org/officeDocument/2006/relationships/hyperlink" Target="https://doi.org/10.1007/978-3-658-36816-6" TargetMode="External"/><Relationship Id="rId63" Type="http://schemas.openxmlformats.org/officeDocument/2006/relationships/hyperlink" Target="https://www.w3.org/TR/WCAG21/" TargetMode="External"/><Relationship Id="rId68" Type="http://schemas.openxmlformats.org/officeDocument/2006/relationships/hyperlink" Target="http://creativecommons.org/licenses/by/4.0/" TargetMode="External"/><Relationship Id="rId2" Type="http://schemas.openxmlformats.org/officeDocument/2006/relationships/customXml" Target="../customXml/item2.xml"/><Relationship Id="rId16" Type="http://schemas.openxmlformats.org/officeDocument/2006/relationships/hyperlink" Target="https://tore.tuhh.de/dspace-cris-server/api/core/bitstreams/52284e8a-0603-49db-af5e-3489abd7762c/content" TargetMode="External"/><Relationship Id="rId29" Type="http://schemas.openxmlformats.org/officeDocument/2006/relationships/hyperlink" Target="https://elibrary.utb.de/doi/pdf/10.3278/WBDIE2201W018" TargetMode="External"/><Relationship Id="rId11" Type="http://schemas.openxmlformats.org/officeDocument/2006/relationships/image" Target="media/image1.png"/><Relationship Id="rId24" Type="http://schemas.openxmlformats.org/officeDocument/2006/relationships/hyperlink" Target="https://www.jstor.org/stable/pdf/3348969.pdf?casa_token=NLxfhG5hV-0AAAAA:o-af08NwQX5Nmgm5JK20i8ZwYol37jIRBZAs0g5dy_NoBwHY2Fjwuukb1Ecs4uKnU2AwJ9t6jC0oXbdAdi5atsCAyhTW0g4qhy0kE3YOUTr2jLHqfSFc" TargetMode="External"/><Relationship Id="rId32" Type="http://schemas.openxmlformats.org/officeDocument/2006/relationships/hyperlink" Target="https://link.springer.com/chapter/10.1007/978-3-658-38703-7_8" TargetMode="External"/><Relationship Id="rId37" Type="http://schemas.openxmlformats.org/officeDocument/2006/relationships/hyperlink" Target="https://www.bpb.de/lernen/digitale-bildung/werkstatt/539162/durch-den-urheberrechtsdschungel-in-der-unterrichtsvorbereitung/" TargetMode="External"/><Relationship Id="rId40" Type="http://schemas.openxmlformats.org/officeDocument/2006/relationships/hyperlink" Target="https://portal.hoou.de/wp-content/uploads/2023/09/IQOer_-_Entwicklungsversion_17.pdf" TargetMode="External"/><Relationship Id="rId45" Type="http://schemas.openxmlformats.org/officeDocument/2006/relationships/hyperlink" Target="https://doi.org/10.3217/zfhe-17-02/12" TargetMode="External"/><Relationship Id="rId53" Type="http://schemas.openxmlformats.org/officeDocument/2006/relationships/hyperlink" Target="https://doi.org/10.1007/978-3-662-64722-6_4" TargetMode="External"/><Relationship Id="rId58" Type="http://schemas.openxmlformats.org/officeDocument/2006/relationships/hyperlink" Target="https://www.unesco.de/bildung/inklusive-bildung" TargetMode="External"/><Relationship Id="rId66" Type="http://schemas.openxmlformats.org/officeDocument/2006/relationships/hyperlink" Target="https://epub.sub.uni-hamburg.de/epub/volltexte/2018/76394/pdf/qualitaet_von_oer_2017_1.pdf" TargetMode="External"/><Relationship Id="rId79" Type="http://schemas.onlyoffice.com/commentsExtensibleDocument" Target="commentsExtensibleDocument.xml"/><Relationship Id="rId5" Type="http://schemas.openxmlformats.org/officeDocument/2006/relationships/numbering" Target="numbering.xml"/><Relationship Id="rId61" Type="http://schemas.openxmlformats.org/officeDocument/2006/relationships/hyperlink" Target="https://www.unesco.de/bildung/agenda-bildung-2030" TargetMode="External"/><Relationship Id="rId19" Type="http://schemas.openxmlformats.org/officeDocument/2006/relationships/hyperlink" Target="https://www.pedocs.de/volltexte/2024/30173/pdf/QfI_2023_2_Berger_et_al_Open_Educational_Resources_im_inklusiven.pdf" TargetMode="External"/><Relationship Id="rId14" Type="http://schemas.openxmlformats.org/officeDocument/2006/relationships/hyperlink" Target="https://www.w3.org/TR/WCAG21/" TargetMode="External"/><Relationship Id="rId22" Type="http://schemas.openxmlformats.org/officeDocument/2006/relationships/hyperlink" Target="https://www.jstor.org/stable/pdf/1247021.pdf?casa_token=Tcna1zB2LksAAAAA:2zTZdew1wh2ho1pr9OXFFPQ8wTa05aDBHrD9-1eeIAI6sp9J-5rO21aB-eA4W8W9BSzJDoUOxrO9c58wFKtOLGI9vFRO6CpTsQlCNaOTu0xcUnTDPngo" TargetMode="External"/><Relationship Id="rId27" Type="http://schemas.openxmlformats.org/officeDocument/2006/relationships/hyperlink" Target="https://encoreproject.eu/wp-content/uploads/2023/12/2023-12-1_ENCORE_D-5-3_Evaluation-of-QTF-final5016.pdf" TargetMode="External"/><Relationship Id="rId30" Type="http://schemas.openxmlformats.org/officeDocument/2006/relationships/hyperlink" Target="https://open-educational-resources.de/offene-bildung-ist-mehr-als-freie-materialien/" TargetMode="External"/><Relationship Id="rId35" Type="http://schemas.openxmlformats.org/officeDocument/2006/relationships/hyperlink" Target="https://www.synergie.uni-hamburg.de/media/sonderbaende/qualitaetsentwicklung-von-oer-2018.pdf" TargetMode="External"/><Relationship Id="rId43" Type="http://schemas.openxmlformats.org/officeDocument/2006/relationships/hyperlink" Target="https://doi.org/10.1007/978-3-658-02620-2_11" TargetMode="External"/><Relationship Id="rId48" Type="http://schemas.openxmlformats.org/officeDocument/2006/relationships/hyperlink" Target="https://core.ac.uk/download/pdf/132627227.pdf" TargetMode="External"/><Relationship Id="rId56" Type="http://schemas.openxmlformats.org/officeDocument/2006/relationships/hyperlink" Target="https://www.unesco.de/sites/default/files/2018-04/Was_sind_OER__cc.pdf" TargetMode="External"/><Relationship Id="rId64" Type="http://schemas.openxmlformats.org/officeDocument/2006/relationships/hyperlink" Target="https://opencontent.org/blog/archives/3221" TargetMode="External"/><Relationship Id="rId69" Type="http://schemas.openxmlformats.org/officeDocument/2006/relationships/footer" Target="footer1.xml"/><Relationship Id="rId77" Type="http://schemas.onlyoffice.com/peopleDocument" Target="peopleDocument.xml"/><Relationship Id="rId8" Type="http://schemas.openxmlformats.org/officeDocument/2006/relationships/webSettings" Target="webSettings.xml"/><Relationship Id="rId51" Type="http://schemas.openxmlformats.org/officeDocument/2006/relationships/hyperlink" Target="https://journals.ub.uni-koeln.de/index.php/k_ON/article/view/1720/2345" TargetMode="External"/><Relationship Id="rId80" Type="http://schemas.onlyoffice.com/commentsExtendedDocument" Target="commentsExtendedDocument.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hyperlink" Target="https://oars.uos.ac.uk/3864/1/An%20Introduction%20to%20Open%20Educational%20Resources---.pdf" TargetMode="External"/><Relationship Id="rId25" Type="http://schemas.openxmlformats.org/officeDocument/2006/relationships/hyperlink" Target="https://encoreproject.eu/wp-content/uploads/2022/04/ENCORE-Position-paper-2-Quality.pdf" TargetMode="External"/><Relationship Id="rId33" Type="http://schemas.openxmlformats.org/officeDocument/2006/relationships/hyperlink" Target="https://www.academia.edu/122661282/Open_educational_resources_for_research_training_quality_assurance_through_a_collaborative_evaluation" TargetMode="External"/><Relationship Id="rId38" Type="http://schemas.openxmlformats.org/officeDocument/2006/relationships/hyperlink" Target="https://nbn-resolving.org/urn:nbn:de:0168-ssoar-316850" TargetMode="External"/><Relationship Id="rId46" Type="http://schemas.openxmlformats.org/officeDocument/2006/relationships/hyperlink" Target="https://www.academia.edu/18257691/Toward_a_quality_model_for_UNED_MOOCs" TargetMode="External"/><Relationship Id="rId59" Type="http://schemas.openxmlformats.org/officeDocument/2006/relationships/hyperlink" Target="https://www.unesco.org/en/open-educational-resources" TargetMode="External"/><Relationship Id="rId67" Type="http://schemas.openxmlformats.org/officeDocument/2006/relationships/hyperlink" Target="https://doi.org/10.1007/978-981-19-0351-9_43-1" TargetMode="External"/><Relationship Id="rId20" Type="http://schemas.openxmlformats.org/officeDocument/2006/relationships/hyperlink" Target="https://doi.org/10.21240/mpaed/32/2018.10.23.X" TargetMode="External"/><Relationship Id="rId41" Type="http://schemas.openxmlformats.org/officeDocument/2006/relationships/hyperlink" Target="https://doi.org/10.1007/978-81-322-4001-3" TargetMode="External"/><Relationship Id="rId54" Type="http://schemas.openxmlformats.org/officeDocument/2006/relationships/hyperlink" Target="https://www.forschung-und-lehre.de/management/vom-novum-zum-normalfall-338" TargetMode="External"/><Relationship Id="rId62" Type="http://schemas.openxmlformats.org/officeDocument/2006/relationships/hyperlink" Target="https://www.pedocs.de/volltexte/2019/17722/pdf/SZBW_2019_1_Villiger_PCorisset_Losa_Editorial_de.pdf" TargetMode="External"/><Relationship Id="rId7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creativecommons.org/licenses/by/4.0/" TargetMode="External"/><Relationship Id="rId23" Type="http://schemas.openxmlformats.org/officeDocument/2006/relationships/hyperlink" Target="https://www.barrierefreiheit-dienstekonsolidierung.bund.de/Webs/PB/DE/gesetze-und-richtlinien/wcag/wcag-artikel.html" TargetMode="External"/><Relationship Id="rId28" Type="http://schemas.openxmlformats.org/officeDocument/2006/relationships/hyperlink" Target="https://www.bpb.de/lernen/digitale-bildung/werkstatt/256243/fuer-eine-kultur-des-teilens-mit-oer-gemeinsam-guten-unterricht-machen/" TargetMode="External"/><Relationship Id="rId36" Type="http://schemas.openxmlformats.org/officeDocument/2006/relationships/hyperlink" Target="https://elfhs.ssru.ac.th/phusit_ph/pluginfile.php/48/block_html/content/Moen-Norman-2009%20PDCA.pdf" TargetMode="External"/><Relationship Id="rId49" Type="http://schemas.openxmlformats.org/officeDocument/2006/relationships/hyperlink" Target="https://doi.org/10.1007/978-3-531-92811-1" TargetMode="External"/><Relationship Id="rId57" Type="http://schemas.openxmlformats.org/officeDocument/2006/relationships/hyperlink" Target="https://unesdoc.unesco.org/ark:/48223/pf0000383205/PDF/383205eng.pdf.multi" TargetMode="External"/><Relationship Id="rId10" Type="http://schemas.openxmlformats.org/officeDocument/2006/relationships/endnotes" Target="endnotes.xml"/><Relationship Id="rId31" Type="http://schemas.openxmlformats.org/officeDocument/2006/relationships/hyperlink" Target="https://www.sandrahofhues.de/2021/02/23/oer-strategie-des-bundes-anmerkungen-und-anregungen-zu-fuenf-fragen-im-themenbereich-mensch/" TargetMode="External"/><Relationship Id="rId44" Type="http://schemas.openxmlformats.org/officeDocument/2006/relationships/hyperlink" Target="https://doi.org/10.25656/01:10879" TargetMode="External"/><Relationship Id="rId52" Type="http://schemas.openxmlformats.org/officeDocument/2006/relationships/hyperlink" Target="https://hochschulforumdigitalisierung.de/sites/default/files/dateien/HFD_AP_Nr38%20Empfehlungen_Strategieentwicklung_WEB.pdf" TargetMode="External"/><Relationship Id="rId60" Type="http://schemas.openxmlformats.org/officeDocument/2006/relationships/hyperlink" Target="https://www.unesco.de/bildung/open-educational-resources" TargetMode="External"/><Relationship Id="rId65" Type="http://schemas.openxmlformats.org/officeDocument/2006/relationships/hyperlink" Target="https://doi.org/10.19173/irrodl.v19i4.3601" TargetMode="External"/><Relationship Id="rId78" Type="http://schemas.onlyoffice.com/commentsIdsDocument" Target="commentsIdsDocument.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portal.hoou.de/" TargetMode="External"/><Relationship Id="rId18" Type="http://schemas.openxmlformats.org/officeDocument/2006/relationships/hyperlink" Target="https://openpraxis.org/articles/10.5944/openpraxis.10.4.889" TargetMode="External"/><Relationship Id="rId39" Type="http://schemas.openxmlformats.org/officeDocument/2006/relationships/hyperlink" Target="https://search.informit.org/doi/pdf/10.3316/informit.135493299425948" TargetMode="External"/><Relationship Id="rId34" Type="http://schemas.openxmlformats.org/officeDocument/2006/relationships/hyperlink" Target="https://auspace.athabascau.ca/bitstream/handle/2149/3472/pub_PS_OER-IRP_web.pdf?sequence=1&amp;isAllowed=y" TargetMode="External"/><Relationship Id="rId50" Type="http://schemas.openxmlformats.org/officeDocument/2006/relationships/hyperlink" Target="https://www.die-bonn.de/doks/weiterbilden/2022/OER.pdf" TargetMode="External"/><Relationship Id="rId55" Type="http://schemas.openxmlformats.org/officeDocument/2006/relationships/hyperlink" Target="https://unesdoc.unesco.org/ark:/48223/pf0000128515" TargetMode="External"/><Relationship Id="rId76" Type="http://schemas.onlyoffice.com/commentsDocument" Target="commentsDocument.xml"/><Relationship Id="rId7" Type="http://schemas.openxmlformats.org/officeDocument/2006/relationships/settings" Target="settings.xml"/><Relationship Id="rId71"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Arial"/>
        <a:cs typeface="Arial"/>
      </a:majorFont>
      <a:minorFont>
        <a:latin typeface="Aptos"/>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DCC7E1C6F20996458722924524A5D054" ma:contentTypeVersion="15" ma:contentTypeDescription="Ein neues Dokument erstellen." ma:contentTypeScope="" ma:versionID="3e51e5f23ea296a11487f4eabf6b5cf5">
  <xsd:schema xmlns:xsd="http://www.w3.org/2001/XMLSchema" xmlns:xs="http://www.w3.org/2001/XMLSchema" xmlns:p="http://schemas.microsoft.com/office/2006/metadata/properties" xmlns:ns2="16576748-f17e-4af3-9cd6-228873063ee2" xmlns:ns3="d87c3b92-71cd-4bed-b556-f046593e0e18" targetNamespace="http://schemas.microsoft.com/office/2006/metadata/properties" ma:root="true" ma:fieldsID="fbf7b5d92af641d67e9462f07bc75274" ns2:_="" ns3:_="">
    <xsd:import namespace="16576748-f17e-4af3-9cd6-228873063ee2"/>
    <xsd:import namespace="d87c3b92-71cd-4bed-b556-f046593e0e18"/>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576748-f17e-4af3-9cd6-228873063e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Bildmarkierungen" ma:readOnly="false" ma:fieldId="{5cf76f15-5ced-4ddc-b409-7134ff3c332f}" ma:taxonomyMulti="true" ma:sspId="1902dec8-a9aa-4cb7-a2d5-0c0a00108762"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87c3b92-71cd-4bed-b556-f046593e0e18"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164623f1-dc99-490d-b51f-563a816ffcb7}" ma:internalName="TaxCatchAll" ma:showField="CatchAllData" ma:web="d87c3b92-71cd-4bed-b556-f046593e0e18">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d87c3b92-71cd-4bed-b556-f046593e0e18" xsi:nil="true"/>
    <lcf76f155ced4ddcb4097134ff3c332f xmlns="16576748-f17e-4af3-9cd6-228873063ee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CD3A545-701D-468A-A9B9-5EDC9CAB1DF7}">
  <ds:schemaRefs>
    <ds:schemaRef ds:uri="http://schemas.openxmlformats.org/officeDocument/2006/bibliography"/>
  </ds:schemaRefs>
</ds:datastoreItem>
</file>

<file path=customXml/itemProps2.xml><?xml version="1.0" encoding="utf-8"?>
<ds:datastoreItem xmlns:ds="http://schemas.openxmlformats.org/officeDocument/2006/customXml" ds:itemID="{FBE3C1FA-B263-430F-B4B8-DB51B8D1B4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576748-f17e-4af3-9cd6-228873063ee2"/>
    <ds:schemaRef ds:uri="d87c3b92-71cd-4bed-b556-f046593e0e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9F2A93-5AA0-49F1-97DC-27F648EA2290}">
  <ds:schemaRefs>
    <ds:schemaRef ds:uri="http://schemas.microsoft.com/sharepoint/v3/contenttype/forms"/>
  </ds:schemaRefs>
</ds:datastoreItem>
</file>

<file path=customXml/itemProps4.xml><?xml version="1.0" encoding="utf-8"?>
<ds:datastoreItem xmlns:ds="http://schemas.openxmlformats.org/officeDocument/2006/customXml" ds:itemID="{6E5DD1EA-FFD5-41B8-A500-C282CBC8E395}">
  <ds:schemaRefs>
    <ds:schemaRef ds:uri="http://schemas.microsoft.com/office/2006/metadata/properties"/>
    <ds:schemaRef ds:uri="http://schemas.microsoft.com/office/infopath/2007/PartnerControls"/>
    <ds:schemaRef ds:uri="d87c3b92-71cd-4bed-b556-f046593e0e18"/>
    <ds:schemaRef ds:uri="16576748-f17e-4af3-9cd6-228873063ee2"/>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63</Pages>
  <Words>12042</Words>
  <Characters>75869</Characters>
  <Application>Microsoft Office Word</Application>
  <DocSecurity>0</DocSecurity>
  <Lines>632</Lines>
  <Paragraphs>175</Paragraphs>
  <ScaleCrop>false</ScaleCrop>
  <HeadingPairs>
    <vt:vector size="2" baseType="variant">
      <vt:variant>
        <vt:lpstr>Titel</vt:lpstr>
      </vt:variant>
      <vt:variant>
        <vt:i4>1</vt:i4>
      </vt:variant>
    </vt:vector>
  </HeadingPairs>
  <TitlesOfParts>
    <vt:vector size="1" baseType="lpstr">
      <vt:lpstr>Theoretische Hintergründe Qualitätsmanagement der HOOU</vt:lpstr>
    </vt:vector>
  </TitlesOfParts>
  <Company/>
  <LinksUpToDate>false</LinksUpToDate>
  <CharactersWithSpaces>87736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Theoretische Hintergründe Qualitätsmanagement der HOOU</dc:title>
  <dc:subject/>
  <dc:creator>Anders, Nina</dc:creator>
  <cp:keywords/>
  <dc:description/>
  <cp:lastModifiedBy>Anders, Nina</cp:lastModifiedBy>
  <cp:revision>2</cp:revision>
  <cp:lastPrinted>2024-11-11T13:58:00Z</cp:lastPrinted>
  <dcterms:created xsi:type="dcterms:W3CDTF">2024-12-03T14:24:00Z</dcterms:created>
  <dcterms:modified xsi:type="dcterms:W3CDTF">2024-12-03T14:24:00Z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2024-03-20T14:09:55Z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2c6cac8d-ab61-47b3-8209-4df2e46aefbc</vt:lpwstr>
  </property>
  <property fmtid="{D5CDD505-2E9C-101B-9397-08002B2CF9AE}" pid="7" name="MSIP_Label_defa4170-0d19-0005-0004-bc88714345d2_ActionId">
    <vt:lpwstr>e1a3c26a-f106-4028-8515-d79e0028f8e9</vt:lpwstr>
  </property>
  <property fmtid="{D5CDD505-2E9C-101B-9397-08002B2CF9AE}" pid="8" name="MSIP_Label_defa4170-0d19-0005-0004-bc88714345d2_ContentBits">
    <vt:lpwstr>0</vt:lpwstr>
  </property>
  <property fmtid="{D5CDD505-2E9C-101B-9397-08002B2CF9AE}" pid="9" name="ContentTypeId">
    <vt:lpwstr>0x010100DCC7E1C6F20996458722924524A5D054</vt:lpwstr>
  </property>
  <property fmtid="{D5CDD505-2E9C-101B-9397-08002B2CF9AE}" pid="10" name="MediaServiceImageTags">
    <vt:lpwstr/>
  </property>
</Properties>
</file>